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8E7" w:rsidRDefault="007C08E7" w:rsidP="007C08E7">
      <w:pPr>
        <w:pStyle w:val="Nadpis1"/>
        <w:jc w:val="center"/>
        <w:rPr>
          <w:rFonts w:ascii="Arial" w:hAnsi="Arial" w:cs="Arial"/>
          <w:caps/>
          <w:kern w:val="28"/>
          <w:sz w:val="28"/>
          <w:szCs w:val="28"/>
          <w:u w:val="none"/>
        </w:rPr>
      </w:pPr>
      <w:r>
        <w:rPr>
          <w:rFonts w:ascii="Arial" w:hAnsi="Arial" w:cs="Arial"/>
          <w:caps/>
          <w:kern w:val="28"/>
          <w:sz w:val="28"/>
          <w:szCs w:val="28"/>
          <w:u w:val="none"/>
        </w:rPr>
        <w:t>Vyhodnocení komplexního systému nakládání s komunálním odpadem na území hl. m. Prahy v letech 1998-2016</w:t>
      </w:r>
    </w:p>
    <w:p w:rsidR="004536C2" w:rsidRPr="004536C2" w:rsidRDefault="004536C2" w:rsidP="004536C2">
      <w:pPr>
        <w:pStyle w:val="BodyText31"/>
      </w:pPr>
    </w:p>
    <w:p w:rsidR="004536C2" w:rsidRPr="008A353C" w:rsidRDefault="004536C2" w:rsidP="004536C2">
      <w:pPr>
        <w:pStyle w:val="Nadpis1"/>
        <w:rPr>
          <w:rFonts w:ascii="Arial" w:hAnsi="Arial" w:cs="Arial"/>
          <w:caps/>
          <w:sz w:val="20"/>
          <w:szCs w:val="22"/>
        </w:rPr>
      </w:pPr>
      <w:r w:rsidRPr="008A353C">
        <w:rPr>
          <w:rFonts w:ascii="Arial" w:hAnsi="Arial" w:cs="Arial"/>
          <w:caps/>
          <w:sz w:val="20"/>
          <w:szCs w:val="22"/>
        </w:rPr>
        <w:t>Produkce odpadů</w:t>
      </w:r>
      <w:r>
        <w:rPr>
          <w:rFonts w:ascii="Arial" w:hAnsi="Arial" w:cs="Arial"/>
          <w:caps/>
          <w:sz w:val="20"/>
          <w:szCs w:val="22"/>
        </w:rPr>
        <w:t xml:space="preserve"> </w:t>
      </w:r>
    </w:p>
    <w:p w:rsidR="004536C2" w:rsidRPr="004719CC" w:rsidRDefault="004536C2" w:rsidP="004536C2">
      <w:pPr>
        <w:pStyle w:val="BodyText31"/>
        <w:rPr>
          <w:rFonts w:ascii="Arial" w:hAnsi="Arial" w:cs="Arial"/>
        </w:rPr>
      </w:pPr>
    </w:p>
    <w:p w:rsidR="004536C2" w:rsidRDefault="004536C2" w:rsidP="004536C2">
      <w:pPr>
        <w:pStyle w:val="Zkladntext3"/>
        <w:overflowPunct/>
        <w:textAlignment w:val="auto"/>
        <w:rPr>
          <w:rFonts w:ascii="Arial" w:hAnsi="Arial" w:cs="Arial"/>
          <w:sz w:val="20"/>
        </w:rPr>
      </w:pPr>
      <w:r>
        <w:rPr>
          <w:rFonts w:ascii="Arial" w:hAnsi="Arial" w:cs="Arial"/>
          <w:sz w:val="20"/>
        </w:rPr>
        <w:t>Hlavní město Praha jako původce odpadů vyprodukovalo:</w:t>
      </w:r>
    </w:p>
    <w:tbl>
      <w:tblPr>
        <w:tblW w:w="92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559"/>
        <w:gridCol w:w="1276"/>
        <w:gridCol w:w="1417"/>
        <w:gridCol w:w="1418"/>
        <w:gridCol w:w="1559"/>
      </w:tblGrid>
      <w:tr w:rsidR="004536C2" w:rsidRPr="004536C2" w:rsidTr="004536C2">
        <w:trPr>
          <w:cantSplit/>
        </w:trPr>
        <w:tc>
          <w:tcPr>
            <w:tcW w:w="921" w:type="dxa"/>
            <w:vMerge w:val="restart"/>
            <w:tcBorders>
              <w:top w:val="single" w:sz="12"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rok</w:t>
            </w:r>
          </w:p>
        </w:tc>
        <w:tc>
          <w:tcPr>
            <w:tcW w:w="1134" w:type="dxa"/>
            <w:vMerge w:val="restart"/>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roofErr w:type="gramStart"/>
            <w:r w:rsidRPr="004536C2">
              <w:rPr>
                <w:rFonts w:ascii="Arial" w:eastAsia="Times New Roman" w:hAnsi="Arial" w:cs="Arial"/>
                <w:i/>
                <w:iCs/>
                <w:sz w:val="18"/>
                <w:szCs w:val="20"/>
                <w:lang w:eastAsia="cs-CZ"/>
              </w:rPr>
              <w:t>KO *) (</w:t>
            </w:r>
            <w:proofErr w:type="spellStart"/>
            <w:r w:rsidRPr="004536C2">
              <w:rPr>
                <w:rFonts w:ascii="Arial" w:eastAsia="Times New Roman" w:hAnsi="Arial" w:cs="Arial"/>
                <w:i/>
                <w:iCs/>
                <w:sz w:val="18"/>
                <w:szCs w:val="20"/>
                <w:lang w:eastAsia="cs-CZ"/>
              </w:rPr>
              <w:t>kt</w:t>
            </w:r>
            <w:proofErr w:type="spellEnd"/>
            <w:proofErr w:type="gramEnd"/>
            <w:r w:rsidRPr="004536C2">
              <w:rPr>
                <w:rFonts w:ascii="Arial" w:eastAsia="Times New Roman" w:hAnsi="Arial" w:cs="Arial"/>
                <w:i/>
                <w:iCs/>
                <w:sz w:val="18"/>
                <w:szCs w:val="20"/>
                <w:lang w:eastAsia="cs-CZ"/>
              </w:rPr>
              <w:t>)</w:t>
            </w:r>
          </w:p>
        </w:tc>
        <w:tc>
          <w:tcPr>
            <w:tcW w:w="1559" w:type="dxa"/>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odstranění (</w:t>
            </w:r>
            <w:proofErr w:type="spellStart"/>
            <w:r w:rsidRPr="004536C2">
              <w:rPr>
                <w:rFonts w:ascii="Arial" w:eastAsia="Times New Roman" w:hAnsi="Arial" w:cs="Arial"/>
                <w:i/>
                <w:iCs/>
                <w:sz w:val="18"/>
                <w:szCs w:val="20"/>
                <w:lang w:eastAsia="cs-CZ"/>
              </w:rPr>
              <w:t>kt</w:t>
            </w:r>
            <w:proofErr w:type="spellEnd"/>
            <w:r w:rsidRPr="004536C2">
              <w:rPr>
                <w:rFonts w:ascii="Arial" w:eastAsia="Times New Roman" w:hAnsi="Arial" w:cs="Arial"/>
                <w:i/>
                <w:iCs/>
                <w:sz w:val="18"/>
                <w:szCs w:val="20"/>
                <w:lang w:eastAsia="cs-CZ"/>
              </w:rPr>
              <w:t>)</w:t>
            </w:r>
          </w:p>
        </w:tc>
        <w:tc>
          <w:tcPr>
            <w:tcW w:w="5670" w:type="dxa"/>
            <w:gridSpan w:val="4"/>
            <w:tcBorders>
              <w:top w:val="single" w:sz="12"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využití (</w:t>
            </w:r>
            <w:proofErr w:type="spellStart"/>
            <w:r w:rsidRPr="004536C2">
              <w:rPr>
                <w:rFonts w:ascii="Arial" w:eastAsia="Times New Roman" w:hAnsi="Arial" w:cs="Arial"/>
                <w:i/>
                <w:iCs/>
                <w:sz w:val="18"/>
                <w:szCs w:val="20"/>
                <w:lang w:eastAsia="cs-CZ"/>
              </w:rPr>
              <w:t>kt</w:t>
            </w:r>
            <w:proofErr w:type="spellEnd"/>
            <w:r w:rsidRPr="004536C2">
              <w:rPr>
                <w:rFonts w:ascii="Arial" w:eastAsia="Times New Roman" w:hAnsi="Arial" w:cs="Arial"/>
                <w:i/>
                <w:iCs/>
                <w:sz w:val="18"/>
                <w:szCs w:val="20"/>
                <w:lang w:eastAsia="cs-CZ"/>
              </w:rPr>
              <w:t>)</w:t>
            </w:r>
          </w:p>
        </w:tc>
      </w:tr>
      <w:tr w:rsidR="004536C2" w:rsidRPr="004536C2" w:rsidTr="004536C2">
        <w:trPr>
          <w:cantSplit/>
          <w:trHeight w:val="113"/>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Skládkování</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Celkem</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termické -</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energetické</w:t>
            </w:r>
          </w:p>
        </w:tc>
        <w:tc>
          <w:tcPr>
            <w:tcW w:w="2977" w:type="dxa"/>
            <w:gridSpan w:val="2"/>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w:t>
            </w:r>
          </w:p>
        </w:tc>
      </w:tr>
      <w:tr w:rsidR="004536C2" w:rsidRPr="004536C2" w:rsidTr="004536C2">
        <w:trPr>
          <w:cantSplit/>
          <w:trHeight w:val="112"/>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276"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7"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vytříděno</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roofErr w:type="spellStart"/>
            <w:r w:rsidRPr="004536C2">
              <w:rPr>
                <w:rFonts w:ascii="Arial" w:eastAsia="Times New Roman" w:hAnsi="Arial" w:cs="Arial"/>
                <w:i/>
                <w:iCs/>
                <w:sz w:val="18"/>
                <w:szCs w:val="20"/>
                <w:lang w:eastAsia="cs-CZ"/>
              </w:rPr>
              <w:t>Fe</w:t>
            </w:r>
            <w:proofErr w:type="spellEnd"/>
            <w:r w:rsidRPr="004536C2">
              <w:rPr>
                <w:rFonts w:ascii="Arial" w:eastAsia="Times New Roman" w:hAnsi="Arial" w:cs="Arial"/>
                <w:i/>
                <w:iCs/>
                <w:sz w:val="18"/>
                <w:szCs w:val="20"/>
                <w:lang w:eastAsia="cs-CZ"/>
              </w:rPr>
              <w:t xml:space="preserve"> – ze škváry</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231,6</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94,5</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138,0</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129,1</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1999</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240,9</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209,6</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193,6</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251,1</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59,2</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191,9</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166,9</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257,2</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225,3</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196,3</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281,8</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42,5</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239,3</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202,0</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37,3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292,9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249,5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205,4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44,1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305,0</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262,6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208,1</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54,5</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319,1</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54,0</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265,1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326,4</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53,7</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272,7</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72,2</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340,5</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62,9</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277,6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197,3</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360,2</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287,9</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190,8</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97,1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382,7</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78,6</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304,1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highlight w:val="yellow"/>
                <w:lang w:eastAsia="cs-CZ"/>
              </w:rPr>
            </w:pPr>
            <w:r w:rsidRPr="004536C2">
              <w:rPr>
                <w:rFonts w:ascii="Arial" w:eastAsia="Times New Roman" w:hAnsi="Arial" w:cs="Arial"/>
                <w:i/>
                <w:iCs/>
                <w:sz w:val="18"/>
                <w:szCs w:val="20"/>
                <w:lang w:eastAsia="cs-CZ"/>
              </w:rPr>
              <w:t>112,9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385,3</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68,3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317,0</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116,6</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395,9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342,5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220,6</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121,9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w:t>
            </w:r>
          </w:p>
        </w:tc>
      </w:tr>
      <w:tr w:rsidR="004536C2" w:rsidRPr="004536C2" w:rsidTr="004536C2">
        <w:tc>
          <w:tcPr>
            <w:tcW w:w="921" w:type="dxa"/>
            <w:tcBorders>
              <w:top w:val="single" w:sz="6" w:space="0" w:color="auto"/>
              <w:left w:val="single" w:sz="12" w:space="0" w:color="auto"/>
              <w:bottom w:val="single" w:sz="12"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134"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385,1</w:t>
            </w:r>
          </w:p>
        </w:tc>
        <w:tc>
          <w:tcPr>
            <w:tcW w:w="1559"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35,7</w:t>
            </w:r>
          </w:p>
        </w:tc>
        <w:tc>
          <w:tcPr>
            <w:tcW w:w="1276"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349,4</w:t>
            </w:r>
          </w:p>
        </w:tc>
        <w:tc>
          <w:tcPr>
            <w:tcW w:w="1417"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228,5</w:t>
            </w:r>
          </w:p>
        </w:tc>
        <w:tc>
          <w:tcPr>
            <w:tcW w:w="1418"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120,9</w:t>
            </w:r>
          </w:p>
        </w:tc>
        <w:tc>
          <w:tcPr>
            <w:tcW w:w="1559" w:type="dxa"/>
            <w:tcBorders>
              <w:top w:val="single" w:sz="6" w:space="0" w:color="auto"/>
              <w:left w:val="single" w:sz="6" w:space="0" w:color="auto"/>
              <w:bottom w:val="single" w:sz="12"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bl>
    <w:p w:rsidR="004536C2" w:rsidRDefault="004536C2" w:rsidP="004536C2">
      <w:pPr>
        <w:pStyle w:val="BodyText31"/>
        <w:rPr>
          <w:rFonts w:ascii="Arial" w:hAnsi="Arial" w:cs="Arial"/>
          <w:sz w:val="18"/>
          <w:szCs w:val="18"/>
        </w:rPr>
      </w:pPr>
      <w:r>
        <w:rPr>
          <w:rFonts w:ascii="Arial" w:hAnsi="Arial" w:cs="Arial"/>
          <w:sz w:val="18"/>
          <w:szCs w:val="18"/>
        </w:rPr>
        <w:t xml:space="preserve">*) v celkovém množství odpadu je zahrnuto pouze množství odpadu, jehož sběr a využívání/odstraňování hradí </w:t>
      </w:r>
      <w:r w:rsidRPr="00C507D2">
        <w:rPr>
          <w:rFonts w:ascii="Arial" w:hAnsi="Arial" w:cs="Arial"/>
          <w:sz w:val="18"/>
          <w:szCs w:val="18"/>
        </w:rPr>
        <w:t>O</w:t>
      </w:r>
      <w:r>
        <w:rPr>
          <w:rFonts w:ascii="Arial" w:hAnsi="Arial" w:cs="Arial"/>
          <w:sz w:val="18"/>
          <w:szCs w:val="18"/>
        </w:rPr>
        <w:t xml:space="preserve">CP MHMP. Celkové vykazované množství KO bylo proto vyšší, např. o uliční smetky </w:t>
      </w:r>
      <w:r w:rsidRPr="002304F7">
        <w:rPr>
          <w:rFonts w:ascii="Arial" w:hAnsi="Arial" w:cs="Arial"/>
          <w:sz w:val="18"/>
          <w:szCs w:val="18"/>
        </w:rPr>
        <w:t>či autovraky</w:t>
      </w:r>
      <w:r>
        <w:rPr>
          <w:rFonts w:ascii="Arial" w:hAnsi="Arial" w:cs="Arial"/>
          <w:sz w:val="18"/>
          <w:szCs w:val="18"/>
        </w:rPr>
        <w:t xml:space="preserve">. </w:t>
      </w:r>
    </w:p>
    <w:p w:rsidR="004536C2" w:rsidRDefault="004536C2" w:rsidP="004536C2">
      <w:pPr>
        <w:pStyle w:val="BodyText31"/>
        <w:rPr>
          <w:rFonts w:ascii="Arial" w:hAnsi="Arial" w:cs="Arial"/>
          <w:sz w:val="18"/>
          <w:szCs w:val="18"/>
        </w:rPr>
      </w:pPr>
    </w:p>
    <w:p w:rsidR="004536C2" w:rsidRPr="00103935" w:rsidRDefault="004536C2" w:rsidP="004536C2">
      <w:pPr>
        <w:pStyle w:val="BodyText31"/>
        <w:rPr>
          <w:rFonts w:ascii="Arial" w:hAnsi="Arial" w:cs="Arial"/>
          <w:sz w:val="18"/>
          <w:szCs w:val="18"/>
        </w:rPr>
      </w:pPr>
      <w:r w:rsidRPr="00103935">
        <w:rPr>
          <w:rFonts w:ascii="Arial" w:hAnsi="Arial" w:cs="Arial"/>
          <w:sz w:val="18"/>
          <w:szCs w:val="18"/>
        </w:rPr>
        <w:t>V </w:t>
      </w:r>
      <w:r w:rsidRPr="00F45CDF">
        <w:rPr>
          <w:rFonts w:ascii="Arial" w:hAnsi="Arial" w:cs="Arial"/>
          <w:sz w:val="18"/>
          <w:szCs w:val="18"/>
        </w:rPr>
        <w:t xml:space="preserve">roce </w:t>
      </w:r>
      <w:r w:rsidRPr="009E23B4">
        <w:rPr>
          <w:rFonts w:ascii="Arial" w:hAnsi="Arial" w:cs="Arial"/>
          <w:sz w:val="18"/>
          <w:szCs w:val="18"/>
        </w:rPr>
        <w:t>201</w:t>
      </w:r>
      <w:r w:rsidRPr="00AB6E3B">
        <w:rPr>
          <w:rFonts w:ascii="Arial" w:hAnsi="Arial" w:cs="Arial"/>
          <w:sz w:val="18"/>
          <w:szCs w:val="18"/>
        </w:rPr>
        <w:t>5</w:t>
      </w:r>
      <w:r w:rsidRPr="00103935">
        <w:rPr>
          <w:rFonts w:ascii="Arial" w:hAnsi="Arial" w:cs="Arial"/>
          <w:sz w:val="18"/>
          <w:szCs w:val="18"/>
        </w:rPr>
        <w:t xml:space="preserve"> celkové evidované množství </w:t>
      </w:r>
      <w:r>
        <w:rPr>
          <w:rFonts w:ascii="Arial" w:hAnsi="Arial" w:cs="Arial"/>
          <w:sz w:val="18"/>
          <w:szCs w:val="18"/>
        </w:rPr>
        <w:t xml:space="preserve">odpadů </w:t>
      </w:r>
      <w:r w:rsidRPr="00103935">
        <w:rPr>
          <w:rFonts w:ascii="Arial" w:hAnsi="Arial" w:cs="Arial"/>
          <w:sz w:val="18"/>
          <w:szCs w:val="18"/>
        </w:rPr>
        <w:t xml:space="preserve">dosáhlo </w:t>
      </w:r>
      <w:r w:rsidRPr="00F45CDF">
        <w:rPr>
          <w:rFonts w:ascii="Arial" w:hAnsi="Arial" w:cs="Arial"/>
          <w:sz w:val="18"/>
          <w:szCs w:val="18"/>
        </w:rPr>
        <w:t>40</w:t>
      </w:r>
      <w:r w:rsidRPr="00AB6E3B">
        <w:rPr>
          <w:rFonts w:ascii="Arial" w:hAnsi="Arial" w:cs="Arial"/>
          <w:sz w:val="18"/>
          <w:szCs w:val="18"/>
        </w:rPr>
        <w:t>8</w:t>
      </w:r>
      <w:r w:rsidRPr="00F45CDF">
        <w:rPr>
          <w:rFonts w:ascii="Arial" w:hAnsi="Arial" w:cs="Arial"/>
          <w:sz w:val="18"/>
          <w:szCs w:val="18"/>
        </w:rPr>
        <w:t>,</w:t>
      </w:r>
      <w:r w:rsidRPr="00AB6E3B">
        <w:rPr>
          <w:rFonts w:ascii="Arial" w:hAnsi="Arial" w:cs="Arial"/>
          <w:sz w:val="18"/>
          <w:szCs w:val="18"/>
        </w:rPr>
        <w:t>2</w:t>
      </w:r>
      <w:r w:rsidRPr="00103935">
        <w:rPr>
          <w:rFonts w:ascii="Arial" w:hAnsi="Arial" w:cs="Arial"/>
          <w:sz w:val="18"/>
          <w:szCs w:val="18"/>
        </w:rPr>
        <w:t xml:space="preserve"> tisíc tun (dle ročního hlášení). Ve vyhodnocení </w:t>
      </w:r>
      <w:r>
        <w:rPr>
          <w:rFonts w:ascii="Arial" w:hAnsi="Arial" w:cs="Arial"/>
          <w:sz w:val="18"/>
          <w:szCs w:val="18"/>
        </w:rPr>
        <w:t>od</w:t>
      </w:r>
      <w:r w:rsidRPr="00103935">
        <w:rPr>
          <w:rFonts w:ascii="Arial" w:hAnsi="Arial" w:cs="Arial"/>
          <w:sz w:val="18"/>
          <w:szCs w:val="18"/>
        </w:rPr>
        <w:t xml:space="preserve"> rok</w:t>
      </w:r>
      <w:r>
        <w:rPr>
          <w:rFonts w:ascii="Arial" w:hAnsi="Arial" w:cs="Arial"/>
          <w:sz w:val="18"/>
          <w:szCs w:val="18"/>
        </w:rPr>
        <w:t>u</w:t>
      </w:r>
      <w:r w:rsidRPr="00103935">
        <w:rPr>
          <w:rFonts w:ascii="Arial" w:hAnsi="Arial" w:cs="Arial"/>
          <w:sz w:val="18"/>
          <w:szCs w:val="18"/>
        </w:rPr>
        <w:t xml:space="preserve"> 2013 došlo ke změně metodiky. V současné době je vyhodnocení postaveno na hodnotách uvedených v ročním hlášení o produkci odpadů hl. m. Prahy a dle jednotlivých kódů nakládání uváděných v ročních hlášení oprávněných osob. Celkové množství je i včetně uličních smetků. V roce 2013 je potřeba zohlednit i tzv. povodňový odpad, který byl skládkován.</w:t>
      </w:r>
    </w:p>
    <w:p w:rsidR="004536C2" w:rsidRDefault="004536C2" w:rsidP="004536C2">
      <w:pPr>
        <w:pStyle w:val="BodyText31"/>
        <w:rPr>
          <w:rFonts w:ascii="Arial" w:hAnsi="Arial" w:cs="Arial"/>
          <w:sz w:val="18"/>
          <w:szCs w:val="18"/>
        </w:rPr>
      </w:pPr>
    </w:p>
    <w:tbl>
      <w:tblPr>
        <w:tblW w:w="9224" w:type="dxa"/>
        <w:tblInd w:w="60" w:type="dxa"/>
        <w:tblLayout w:type="fixed"/>
        <w:tblCellMar>
          <w:left w:w="70" w:type="dxa"/>
          <w:right w:w="70" w:type="dxa"/>
        </w:tblCellMar>
        <w:tblLook w:val="04A0" w:firstRow="1" w:lastRow="0" w:firstColumn="1" w:lastColumn="0" w:noHBand="0" w:noVBand="1"/>
      </w:tblPr>
      <w:tblGrid>
        <w:gridCol w:w="1144"/>
        <w:gridCol w:w="1560"/>
        <w:gridCol w:w="840"/>
        <w:gridCol w:w="135"/>
        <w:gridCol w:w="1052"/>
        <w:gridCol w:w="1119"/>
        <w:gridCol w:w="1248"/>
        <w:gridCol w:w="1276"/>
        <w:gridCol w:w="850"/>
      </w:tblGrid>
      <w:tr w:rsidR="004536C2" w:rsidRPr="004536C2" w:rsidTr="004536C2">
        <w:trPr>
          <w:trHeight w:val="538"/>
        </w:trPr>
        <w:tc>
          <w:tcPr>
            <w:tcW w:w="1144" w:type="dxa"/>
            <w:vMerge w:val="restart"/>
            <w:tcBorders>
              <w:top w:val="single" w:sz="12" w:space="0" w:color="auto"/>
              <w:left w:val="single" w:sz="12" w:space="0" w:color="auto"/>
              <w:bottom w:val="single" w:sz="8" w:space="0" w:color="000000"/>
              <w:right w:val="single" w:sz="8" w:space="0" w:color="auto"/>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 xml:space="preserve">Celkové množství </w:t>
            </w:r>
            <w:proofErr w:type="gramStart"/>
            <w:r w:rsidRPr="004536C2">
              <w:rPr>
                <w:rFonts w:ascii="Arial" w:eastAsia="Times New Roman" w:hAnsi="Arial" w:cs="Arial"/>
                <w:i/>
                <w:iCs/>
                <w:color w:val="000000"/>
                <w:sz w:val="18"/>
                <w:szCs w:val="18"/>
                <w:lang w:eastAsia="cs-CZ"/>
              </w:rPr>
              <w:t>odpadu *) (</w:t>
            </w:r>
            <w:proofErr w:type="spellStart"/>
            <w:r w:rsidRPr="004536C2">
              <w:rPr>
                <w:rFonts w:ascii="Arial" w:eastAsia="Times New Roman" w:hAnsi="Arial" w:cs="Arial"/>
                <w:i/>
                <w:iCs/>
                <w:color w:val="000000"/>
                <w:sz w:val="18"/>
                <w:szCs w:val="18"/>
                <w:lang w:eastAsia="cs-CZ"/>
              </w:rPr>
              <w:t>kt</w:t>
            </w:r>
            <w:proofErr w:type="spellEnd"/>
            <w:proofErr w:type="gramEnd"/>
            <w:r w:rsidRPr="004536C2">
              <w:rPr>
                <w:rFonts w:ascii="Arial" w:eastAsia="Times New Roman" w:hAnsi="Arial" w:cs="Arial"/>
                <w:i/>
                <w:iCs/>
                <w:color w:val="000000"/>
                <w:sz w:val="18"/>
                <w:szCs w:val="18"/>
                <w:lang w:eastAsia="cs-CZ"/>
              </w:rPr>
              <w:t>)</w:t>
            </w:r>
          </w:p>
        </w:tc>
        <w:tc>
          <w:tcPr>
            <w:tcW w:w="840" w:type="dxa"/>
            <w:tcBorders>
              <w:top w:val="single" w:sz="12" w:space="0" w:color="auto"/>
              <w:left w:val="nil"/>
              <w:bottom w:val="single" w:sz="8" w:space="0" w:color="auto"/>
              <w:right w:val="nil"/>
            </w:tcBorders>
            <w:shd w:val="clear" w:color="000000" w:fill="E0E0E0"/>
          </w:tcPr>
          <w:p w:rsidR="004536C2" w:rsidRPr="004536C2" w:rsidRDefault="004536C2" w:rsidP="004536C2">
            <w:pPr>
              <w:spacing w:after="0" w:line="240" w:lineRule="auto"/>
              <w:rPr>
                <w:rFonts w:ascii="Arial" w:eastAsia="Times New Roman" w:hAnsi="Arial" w:cs="Arial"/>
                <w:i/>
                <w:iCs/>
                <w:color w:val="000000"/>
                <w:sz w:val="18"/>
                <w:szCs w:val="18"/>
                <w:lang w:eastAsia="cs-CZ"/>
              </w:rPr>
            </w:pPr>
          </w:p>
        </w:tc>
        <w:tc>
          <w:tcPr>
            <w:tcW w:w="2306" w:type="dxa"/>
            <w:gridSpan w:val="3"/>
            <w:tcBorders>
              <w:top w:val="single" w:sz="12" w:space="0" w:color="auto"/>
              <w:left w:val="nil"/>
              <w:bottom w:val="single" w:sz="8" w:space="0" w:color="auto"/>
              <w:right w:val="single" w:sz="8" w:space="0" w:color="000000"/>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odstranění (</w:t>
            </w:r>
            <w:proofErr w:type="spellStart"/>
            <w:r w:rsidRPr="004536C2">
              <w:rPr>
                <w:rFonts w:ascii="Arial" w:eastAsia="Times New Roman" w:hAnsi="Arial" w:cs="Arial"/>
                <w:i/>
                <w:iCs/>
                <w:color w:val="000000"/>
                <w:sz w:val="18"/>
                <w:szCs w:val="18"/>
                <w:lang w:eastAsia="cs-CZ"/>
              </w:rPr>
              <w:t>kt</w:t>
            </w:r>
            <w:proofErr w:type="spellEnd"/>
            <w:r w:rsidRPr="004536C2">
              <w:rPr>
                <w:rFonts w:ascii="Arial" w:eastAsia="Times New Roman" w:hAnsi="Arial" w:cs="Arial"/>
                <w:i/>
                <w:iCs/>
                <w:color w:val="000000"/>
                <w:sz w:val="18"/>
                <w:szCs w:val="18"/>
                <w:lang w:eastAsia="cs-CZ"/>
              </w:rPr>
              <w:t>)</w:t>
            </w:r>
          </w:p>
        </w:tc>
        <w:tc>
          <w:tcPr>
            <w:tcW w:w="3374" w:type="dxa"/>
            <w:gridSpan w:val="3"/>
            <w:tcBorders>
              <w:top w:val="single" w:sz="12" w:space="0" w:color="auto"/>
              <w:left w:val="nil"/>
              <w:bottom w:val="single" w:sz="8" w:space="0" w:color="auto"/>
              <w:right w:val="single" w:sz="12" w:space="0" w:color="auto"/>
            </w:tcBorders>
            <w:shd w:val="clear" w:color="000000" w:fill="E0E0E0"/>
            <w:noWrap/>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využití (</w:t>
            </w:r>
            <w:proofErr w:type="spellStart"/>
            <w:r w:rsidRPr="004536C2">
              <w:rPr>
                <w:rFonts w:ascii="Arial" w:eastAsia="Times New Roman" w:hAnsi="Arial" w:cs="Arial"/>
                <w:i/>
                <w:iCs/>
                <w:color w:val="000000"/>
                <w:sz w:val="18"/>
                <w:szCs w:val="18"/>
                <w:lang w:eastAsia="cs-CZ"/>
              </w:rPr>
              <w:t>kt</w:t>
            </w:r>
            <w:proofErr w:type="spellEnd"/>
            <w:r w:rsidRPr="004536C2">
              <w:rPr>
                <w:rFonts w:ascii="Arial" w:eastAsia="Times New Roman" w:hAnsi="Arial" w:cs="Arial"/>
                <w:i/>
                <w:iCs/>
                <w:color w:val="000000"/>
                <w:sz w:val="18"/>
                <w:szCs w:val="18"/>
                <w:lang w:eastAsia="cs-CZ"/>
              </w:rPr>
              <w:t>)</w:t>
            </w:r>
          </w:p>
        </w:tc>
      </w:tr>
      <w:tr w:rsidR="004536C2" w:rsidRPr="004536C2" w:rsidTr="004536C2">
        <w:trPr>
          <w:trHeight w:val="684"/>
        </w:trPr>
        <w:tc>
          <w:tcPr>
            <w:tcW w:w="1144" w:type="dxa"/>
            <w:vMerge/>
            <w:tcBorders>
              <w:top w:val="single" w:sz="8" w:space="0" w:color="auto"/>
              <w:left w:val="single" w:sz="12" w:space="0" w:color="auto"/>
              <w:bottom w:val="single" w:sz="8" w:space="0" w:color="000000"/>
              <w:right w:val="single" w:sz="8" w:space="0" w:color="auto"/>
            </w:tcBorders>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p>
        </w:tc>
        <w:tc>
          <w:tcPr>
            <w:tcW w:w="975" w:type="dxa"/>
            <w:gridSpan w:val="2"/>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Skládkování</w:t>
            </w:r>
          </w:p>
        </w:tc>
        <w:tc>
          <w:tcPr>
            <w:tcW w:w="1052" w:type="dxa"/>
            <w:tcBorders>
              <w:top w:val="nil"/>
              <w:left w:val="single" w:sz="8" w:space="0" w:color="auto"/>
              <w:right w:val="single" w:sz="8" w:space="0" w:color="auto"/>
            </w:tcBorders>
            <w:shd w:val="clear" w:color="000000" w:fill="E0E0E0"/>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Vypouštění do vodních těles</w:t>
            </w:r>
          </w:p>
        </w:tc>
        <w:tc>
          <w:tcPr>
            <w:tcW w:w="1119"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Termické</w:t>
            </w:r>
          </w:p>
        </w:tc>
        <w:tc>
          <w:tcPr>
            <w:tcW w:w="1248"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Energetické</w:t>
            </w:r>
          </w:p>
        </w:tc>
        <w:tc>
          <w:tcPr>
            <w:tcW w:w="1276"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materiálové</w:t>
            </w:r>
          </w:p>
        </w:tc>
        <w:tc>
          <w:tcPr>
            <w:tcW w:w="850" w:type="dxa"/>
            <w:tcBorders>
              <w:top w:val="nil"/>
              <w:left w:val="single" w:sz="8" w:space="0" w:color="auto"/>
              <w:bottom w:val="single" w:sz="8" w:space="0" w:color="000000"/>
              <w:right w:val="single" w:sz="12" w:space="0" w:color="auto"/>
            </w:tcBorders>
            <w:shd w:val="clear" w:color="000000" w:fill="E0E0E0"/>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celkem</w:t>
            </w:r>
          </w:p>
        </w:tc>
      </w:tr>
      <w:tr w:rsidR="004536C2" w:rsidRPr="004536C2" w:rsidTr="004536C2">
        <w:trPr>
          <w:trHeight w:val="239"/>
        </w:trPr>
        <w:tc>
          <w:tcPr>
            <w:tcW w:w="1144" w:type="dxa"/>
            <w:tcBorders>
              <w:top w:val="nil"/>
              <w:left w:val="single" w:sz="12" w:space="0" w:color="auto"/>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2013</w:t>
            </w:r>
          </w:p>
        </w:tc>
        <w:tc>
          <w:tcPr>
            <w:tcW w:w="1560"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400,9</w:t>
            </w:r>
          </w:p>
        </w:tc>
        <w:tc>
          <w:tcPr>
            <w:tcW w:w="975" w:type="dxa"/>
            <w:gridSpan w:val="2"/>
            <w:tcBorders>
              <w:top w:val="nil"/>
              <w:left w:val="nil"/>
              <w:bottom w:val="single" w:sz="8" w:space="0" w:color="auto"/>
              <w:right w:val="single" w:sz="4"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77,5</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4536C2">
            <w:pPr>
              <w:spacing w:after="0" w:line="240" w:lineRule="auto"/>
              <w:jc w:val="center"/>
              <w:rPr>
                <w:rFonts w:ascii="Calibri" w:eastAsia="Times New Roman" w:hAnsi="Calibri" w:cs="Times New Roman"/>
                <w:i/>
                <w:iCs/>
                <w:color w:val="000000"/>
                <w:lang w:eastAsia="cs-CZ"/>
              </w:rPr>
            </w:pPr>
          </w:p>
        </w:tc>
        <w:tc>
          <w:tcPr>
            <w:tcW w:w="1119" w:type="dxa"/>
            <w:tcBorders>
              <w:top w:val="nil"/>
              <w:left w:val="single" w:sz="4" w:space="0" w:color="auto"/>
              <w:bottom w:val="single" w:sz="8" w:space="0" w:color="auto"/>
              <w:right w:val="single" w:sz="8" w:space="0" w:color="auto"/>
            </w:tcBorders>
            <w:shd w:val="clear" w:color="000000" w:fill="FFFFFF"/>
            <w:noWrap/>
            <w:vAlign w:val="center"/>
            <w:hideMark/>
          </w:tcPr>
          <w:p w:rsidR="004536C2" w:rsidRPr="004536C2" w:rsidRDefault="004536C2" w:rsidP="004536C2">
            <w:pPr>
              <w:spacing w:after="0" w:line="240" w:lineRule="auto"/>
              <w:jc w:val="center"/>
              <w:rPr>
                <w:rFonts w:ascii="Calibri" w:eastAsia="Times New Roman" w:hAnsi="Calibri" w:cs="Times New Roman"/>
                <w:i/>
                <w:iCs/>
                <w:color w:val="000000"/>
                <w:lang w:eastAsia="cs-CZ"/>
              </w:rPr>
            </w:pPr>
            <w:r w:rsidRPr="004536C2">
              <w:rPr>
                <w:rFonts w:ascii="Calibri" w:eastAsia="Times New Roman" w:hAnsi="Calibri" w:cs="Times New Roman"/>
                <w:i/>
                <w:iCs/>
                <w:color w:val="000000"/>
                <w:lang w:eastAsia="cs-CZ"/>
              </w:rPr>
              <w:t>1,8</w:t>
            </w:r>
          </w:p>
        </w:tc>
        <w:tc>
          <w:tcPr>
            <w:tcW w:w="1248"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226,6</w:t>
            </w:r>
          </w:p>
        </w:tc>
        <w:tc>
          <w:tcPr>
            <w:tcW w:w="1276"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95,0</w:t>
            </w:r>
          </w:p>
        </w:tc>
        <w:tc>
          <w:tcPr>
            <w:tcW w:w="850" w:type="dxa"/>
            <w:tcBorders>
              <w:top w:val="nil"/>
              <w:left w:val="nil"/>
              <w:bottom w:val="single" w:sz="8" w:space="0" w:color="auto"/>
              <w:right w:val="single" w:sz="12"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321,4</w:t>
            </w:r>
          </w:p>
        </w:tc>
      </w:tr>
      <w:tr w:rsidR="004536C2" w:rsidRPr="004536C2"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2014</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405,8</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65,7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4536C2">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4536C2" w:rsidRPr="004536C2" w:rsidRDefault="004536C2" w:rsidP="004536C2">
            <w:pPr>
              <w:spacing w:after="0" w:line="240" w:lineRule="auto"/>
              <w:jc w:val="center"/>
              <w:rPr>
                <w:rFonts w:ascii="Calibri" w:eastAsia="Times New Roman" w:hAnsi="Calibri" w:cs="Times New Roman"/>
                <w:color w:val="000000"/>
                <w:lang w:eastAsia="cs-CZ"/>
              </w:rPr>
            </w:pPr>
            <w:r w:rsidRPr="004536C2">
              <w:rPr>
                <w:rFonts w:ascii="Calibri" w:eastAsia="Times New Roman" w:hAnsi="Calibri" w:cs="Times New Roman"/>
                <w:color w:val="000000"/>
                <w:lang w:eastAsia="cs-CZ"/>
              </w:rPr>
              <w:t>0,5</w:t>
            </w:r>
          </w:p>
        </w:tc>
        <w:tc>
          <w:tcPr>
            <w:tcW w:w="1248"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241,9</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97,8</w:t>
            </w:r>
          </w:p>
        </w:tc>
        <w:tc>
          <w:tcPr>
            <w:tcW w:w="850" w:type="dxa"/>
            <w:tcBorders>
              <w:top w:val="single" w:sz="8" w:space="0" w:color="auto"/>
              <w:left w:val="nil"/>
              <w:bottom w:val="single" w:sz="8" w:space="0" w:color="auto"/>
              <w:right w:val="single" w:sz="12" w:space="0" w:color="auto"/>
            </w:tcBorders>
            <w:shd w:val="clear" w:color="000000" w:fill="FFFFFF"/>
            <w:vAlign w:val="center"/>
            <w:hideMark/>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339,7</w:t>
            </w:r>
          </w:p>
        </w:tc>
      </w:tr>
      <w:tr w:rsidR="004536C2" w:rsidRPr="004536C2"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2015</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408,2</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4536C2">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4536C2" w:rsidRDefault="004536C2" w:rsidP="004536C2">
            <w:pPr>
              <w:spacing w:after="0" w:line="240" w:lineRule="auto"/>
              <w:jc w:val="center"/>
              <w:rPr>
                <w:rFonts w:ascii="Calibri" w:eastAsia="Times New Roman" w:hAnsi="Calibri" w:cs="Times New Roman"/>
                <w:color w:val="000000"/>
                <w:lang w:eastAsia="cs-CZ"/>
              </w:rPr>
            </w:pPr>
            <w:r w:rsidRPr="004536C2">
              <w:rPr>
                <w:rFonts w:ascii="Calibri" w:eastAsia="Times New Roman" w:hAnsi="Calibri" w:cs="Times New Roman"/>
                <w:color w:val="000000"/>
                <w:lang w:eastAsia="cs-CZ"/>
              </w:rPr>
              <w:t>0,1</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251,7</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100,0</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351,9</w:t>
            </w:r>
          </w:p>
        </w:tc>
      </w:tr>
      <w:tr w:rsidR="004536C2" w:rsidRPr="004536C2" w:rsidTr="004536C2">
        <w:trPr>
          <w:trHeight w:val="239"/>
        </w:trPr>
        <w:tc>
          <w:tcPr>
            <w:tcW w:w="1144" w:type="dxa"/>
            <w:tcBorders>
              <w:top w:val="single" w:sz="8" w:space="0" w:color="auto"/>
              <w:left w:val="single" w:sz="12" w:space="0" w:color="auto"/>
              <w:bottom w:val="single" w:sz="12"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2016</w:t>
            </w:r>
          </w:p>
        </w:tc>
        <w:tc>
          <w:tcPr>
            <w:tcW w:w="1560" w:type="dxa"/>
            <w:tcBorders>
              <w:top w:val="single" w:sz="8" w:space="0" w:color="auto"/>
              <w:left w:val="nil"/>
              <w:bottom w:val="single" w:sz="12"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sz w:val="18"/>
                <w:szCs w:val="18"/>
                <w:lang w:eastAsia="cs-CZ"/>
              </w:rPr>
            </w:pPr>
            <w:r w:rsidRPr="004536C2">
              <w:rPr>
                <w:rFonts w:ascii="Arial" w:eastAsia="Times New Roman" w:hAnsi="Arial" w:cs="Arial"/>
                <w:i/>
                <w:iCs/>
                <w:sz w:val="18"/>
                <w:szCs w:val="18"/>
                <w:lang w:eastAsia="cs-CZ"/>
              </w:rPr>
              <w:t>423,5**</w:t>
            </w:r>
          </w:p>
        </w:tc>
        <w:tc>
          <w:tcPr>
            <w:tcW w:w="975" w:type="dxa"/>
            <w:gridSpan w:val="2"/>
            <w:tcBorders>
              <w:top w:val="single" w:sz="8" w:space="0" w:color="auto"/>
              <w:left w:val="nil"/>
              <w:bottom w:val="single" w:sz="12" w:space="0" w:color="auto"/>
              <w:right w:val="single" w:sz="4"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50,8</w:t>
            </w:r>
          </w:p>
        </w:tc>
        <w:tc>
          <w:tcPr>
            <w:tcW w:w="1052" w:type="dxa"/>
            <w:tcBorders>
              <w:top w:val="single" w:sz="4" w:space="0" w:color="auto"/>
              <w:left w:val="single" w:sz="4" w:space="0" w:color="auto"/>
              <w:bottom w:val="single" w:sz="12" w:space="0" w:color="auto"/>
              <w:right w:val="single" w:sz="4" w:space="0" w:color="auto"/>
            </w:tcBorders>
            <w:shd w:val="clear" w:color="000000" w:fill="FFFFFF"/>
          </w:tcPr>
          <w:p w:rsidR="004536C2" w:rsidRPr="004536C2" w:rsidRDefault="004536C2" w:rsidP="004536C2">
            <w:pPr>
              <w:spacing w:after="0" w:line="240" w:lineRule="auto"/>
              <w:jc w:val="center"/>
              <w:rPr>
                <w:rFonts w:ascii="Calibri" w:eastAsia="Times New Roman" w:hAnsi="Calibri" w:cs="Times New Roman"/>
                <w:color w:val="000000"/>
                <w:lang w:eastAsia="cs-CZ"/>
              </w:rPr>
            </w:pPr>
            <w:r w:rsidRPr="004536C2">
              <w:rPr>
                <w:rFonts w:ascii="Calibri" w:eastAsia="Times New Roman" w:hAnsi="Calibri" w:cs="Times New Roman"/>
                <w:color w:val="000000"/>
                <w:lang w:eastAsia="cs-CZ"/>
              </w:rPr>
              <w:t>13,2</w:t>
            </w:r>
          </w:p>
        </w:tc>
        <w:tc>
          <w:tcPr>
            <w:tcW w:w="1119" w:type="dxa"/>
            <w:tcBorders>
              <w:top w:val="single" w:sz="8" w:space="0" w:color="auto"/>
              <w:left w:val="single" w:sz="4" w:space="0" w:color="auto"/>
              <w:bottom w:val="single" w:sz="12" w:space="0" w:color="auto"/>
              <w:right w:val="single" w:sz="8" w:space="0" w:color="auto"/>
            </w:tcBorders>
            <w:shd w:val="clear" w:color="000000" w:fill="FFFFFF"/>
            <w:noWrap/>
            <w:vAlign w:val="center"/>
          </w:tcPr>
          <w:p w:rsidR="004536C2" w:rsidRPr="004536C2" w:rsidRDefault="004536C2" w:rsidP="004536C2">
            <w:pPr>
              <w:spacing w:after="0" w:line="240" w:lineRule="auto"/>
              <w:jc w:val="center"/>
              <w:rPr>
                <w:rFonts w:ascii="Calibri" w:eastAsia="Times New Roman" w:hAnsi="Calibri" w:cs="Times New Roman"/>
                <w:color w:val="000000"/>
                <w:lang w:eastAsia="cs-CZ"/>
              </w:rPr>
            </w:pPr>
            <w:r w:rsidRPr="004536C2">
              <w:rPr>
                <w:rFonts w:ascii="Calibri" w:eastAsia="Times New Roman" w:hAnsi="Calibri" w:cs="Times New Roman"/>
                <w:color w:val="000000"/>
                <w:lang w:eastAsia="cs-CZ"/>
              </w:rPr>
              <w:t>0,6</w:t>
            </w:r>
          </w:p>
        </w:tc>
        <w:tc>
          <w:tcPr>
            <w:tcW w:w="1248" w:type="dxa"/>
            <w:tcBorders>
              <w:top w:val="single" w:sz="8" w:space="0" w:color="auto"/>
              <w:left w:val="nil"/>
              <w:bottom w:val="single" w:sz="12"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245,9</w:t>
            </w:r>
          </w:p>
        </w:tc>
        <w:tc>
          <w:tcPr>
            <w:tcW w:w="1276" w:type="dxa"/>
            <w:tcBorders>
              <w:top w:val="single" w:sz="8" w:space="0" w:color="auto"/>
              <w:left w:val="nil"/>
              <w:bottom w:val="single" w:sz="12" w:space="0" w:color="auto"/>
              <w:right w:val="single" w:sz="8"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113,0</w:t>
            </w:r>
          </w:p>
        </w:tc>
        <w:tc>
          <w:tcPr>
            <w:tcW w:w="850" w:type="dxa"/>
            <w:tcBorders>
              <w:top w:val="single" w:sz="8" w:space="0" w:color="auto"/>
              <w:left w:val="nil"/>
              <w:bottom w:val="single" w:sz="12" w:space="0" w:color="auto"/>
              <w:right w:val="single" w:sz="12" w:space="0" w:color="auto"/>
            </w:tcBorders>
            <w:shd w:val="clear" w:color="000000" w:fill="FFFFFF"/>
            <w:vAlign w:val="center"/>
          </w:tcPr>
          <w:p w:rsidR="004536C2" w:rsidRPr="004536C2" w:rsidRDefault="004536C2" w:rsidP="004536C2">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358,9</w:t>
            </w:r>
          </w:p>
        </w:tc>
      </w:tr>
    </w:tbl>
    <w:p w:rsidR="004536C2" w:rsidRPr="00360996" w:rsidRDefault="004536C2" w:rsidP="004536C2">
      <w:pPr>
        <w:pStyle w:val="Zkladntext3"/>
        <w:overflowPunct/>
        <w:textAlignment w:val="auto"/>
        <w:rPr>
          <w:rFonts w:ascii="Arial" w:hAnsi="Arial" w:cs="Arial"/>
          <w:sz w:val="20"/>
        </w:rPr>
      </w:pPr>
      <w:r w:rsidRPr="00CC4269">
        <w:rPr>
          <w:rFonts w:ascii="Arial" w:hAnsi="Arial" w:cs="Arial"/>
          <w:sz w:val="20"/>
        </w:rPr>
        <w:t>** v roce 2016 jsou na doporučení ČIŽP v celkovém množství započítány i produkce odpadů z činnosti fyzických osob na území MČ, přičemž tyto odpady generovaly služby, které pro své občany poskytovaly MČ ze svých vlastních rozpočtů nad rámec služeb poskytovaných Mag</w:t>
      </w:r>
      <w:r>
        <w:rPr>
          <w:rFonts w:ascii="Arial" w:hAnsi="Arial" w:cs="Arial"/>
          <w:sz w:val="20"/>
        </w:rPr>
        <w:t>istrátem hl. m. Prahy. Dále jsou v celkovém množství započítány i tzv. uliční smetky z úklidu komunikací, jejichž produkce v roce 2016 činila cca 19 755 t</w:t>
      </w:r>
    </w:p>
    <w:p w:rsidR="004536C2" w:rsidRPr="00CC4269" w:rsidRDefault="004536C2" w:rsidP="004536C2">
      <w:pPr>
        <w:pStyle w:val="BodyText31"/>
        <w:rPr>
          <w:rFonts w:ascii="Arial" w:hAnsi="Arial" w:cs="Arial"/>
          <w:sz w:val="20"/>
        </w:rPr>
      </w:pPr>
    </w:p>
    <w:p w:rsidR="004536C2" w:rsidRDefault="004536C2" w:rsidP="004536C2">
      <w:pPr>
        <w:pStyle w:val="Zkladntext3"/>
        <w:overflowPunct/>
        <w:textAlignment w:val="auto"/>
        <w:rPr>
          <w:rFonts w:ascii="Arial" w:hAnsi="Arial" w:cs="Arial"/>
          <w:sz w:val="20"/>
        </w:rPr>
      </w:pPr>
      <w:r>
        <w:rPr>
          <w:rFonts w:ascii="Arial" w:hAnsi="Arial" w:cs="Arial"/>
          <w:sz w:val="20"/>
        </w:rPr>
        <w:t>Zvyšující se účinnost tříděného sběru odpadů dokládá následující tabulka. Pokud za využití odpadu považujeme materiálové i</w:t>
      </w:r>
      <w:r>
        <w:rPr>
          <w:rFonts w:ascii="Arial" w:hAnsi="Arial" w:cs="Arial"/>
          <w:i/>
          <w:iCs/>
          <w:sz w:val="20"/>
        </w:rPr>
        <w:t xml:space="preserve"> </w:t>
      </w:r>
      <w:r>
        <w:rPr>
          <w:rFonts w:ascii="Arial" w:hAnsi="Arial" w:cs="Arial"/>
          <w:i/>
          <w:iCs/>
          <w:sz w:val="20"/>
          <w:u w:val="single"/>
        </w:rPr>
        <w:t>energetické</w:t>
      </w:r>
      <w:r>
        <w:rPr>
          <w:rFonts w:ascii="Arial" w:hAnsi="Arial" w:cs="Arial"/>
          <w:i/>
          <w:iCs/>
          <w:sz w:val="20"/>
        </w:rPr>
        <w:t xml:space="preserve"> </w:t>
      </w:r>
      <w:r>
        <w:rPr>
          <w:rFonts w:ascii="Arial" w:hAnsi="Arial" w:cs="Arial"/>
          <w:sz w:val="20"/>
        </w:rPr>
        <w:t>využití odpadu v ZEVO Malešice, bude výsledek třídění výraznější (to odpovídá znění nového zákona o odpadech, který je účinný od 1. ledna 2002):</w:t>
      </w:r>
    </w:p>
    <w:p w:rsidR="007C08E7" w:rsidRDefault="007C08E7" w:rsidP="004536C2">
      <w:pPr>
        <w:pStyle w:val="BodyText31"/>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4040"/>
        <w:gridCol w:w="4040"/>
      </w:tblGrid>
      <w:tr w:rsidR="004536C2" w:rsidRPr="004536C2" w:rsidTr="004536C2">
        <w:tc>
          <w:tcPr>
            <w:tcW w:w="1204"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rok</w:t>
            </w:r>
          </w:p>
        </w:tc>
        <w:tc>
          <w:tcPr>
            <w:tcW w:w="4040"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účinnost třídění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pouze materiálové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c>
          <w:tcPr>
            <w:tcW w:w="4040"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podíl využívaného odpadu</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 a energetické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1997*</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780"/>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lastRenderedPageBreak/>
              <w:t>1999</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11,0</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57</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12,3</w:t>
            </w:r>
          </w:p>
        </w:tc>
        <w:tc>
          <w:tcPr>
            <w:tcW w:w="4040"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77</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4040" w:type="dxa"/>
            <w:tcBorders>
              <w:top w:val="single" w:sz="6" w:space="0" w:color="auto"/>
            </w:tcBorders>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14,3</w:t>
            </w:r>
          </w:p>
        </w:tc>
        <w:tc>
          <w:tcPr>
            <w:tcW w:w="4040" w:type="dxa"/>
            <w:tcBorders>
              <w:top w:val="single" w:sz="6" w:space="0" w:color="auto"/>
            </w:tcBorders>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73</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16,3</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18,6</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21,1</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24,5</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82</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27,8</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81</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30,3</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31,1</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87</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32,2</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91</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2013**</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23,7</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2014</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24,1</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4536C2">
        <w:trPr>
          <w:trHeight w:val="227"/>
        </w:trPr>
        <w:tc>
          <w:tcPr>
            <w:tcW w:w="1204"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2015</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24,6</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4536C2">
        <w:trPr>
          <w:trHeight w:val="227"/>
        </w:trPr>
        <w:tc>
          <w:tcPr>
            <w:tcW w:w="1204" w:type="dxa"/>
            <w:tcBorders>
              <w:top w:val="single" w:sz="6" w:space="0" w:color="auto"/>
              <w:bottom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2016</w:t>
            </w:r>
          </w:p>
        </w:tc>
        <w:tc>
          <w:tcPr>
            <w:tcW w:w="4040"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26,7</w:t>
            </w:r>
          </w:p>
        </w:tc>
        <w:tc>
          <w:tcPr>
            <w:tcW w:w="4040"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85</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4536C2">
        <w:rPr>
          <w:rFonts w:ascii="Arial" w:eastAsia="Times New Roman" w:hAnsi="Arial" w:cs="Arial"/>
          <w:sz w:val="18"/>
          <w:szCs w:val="18"/>
          <w:lang w:eastAsia="cs-CZ"/>
        </w:rPr>
        <w:t xml:space="preserve">* před zavedením projektu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4536C2">
        <w:rPr>
          <w:rFonts w:ascii="Arial" w:eastAsia="Times New Roman" w:hAnsi="Arial" w:cs="Arial"/>
          <w:sz w:val="18"/>
          <w:szCs w:val="18"/>
          <w:lang w:eastAsia="cs-CZ"/>
        </w:rPr>
        <w:t xml:space="preserve">** v roce 2013 </w:t>
      </w:r>
      <w:proofErr w:type="gramStart"/>
      <w:r w:rsidRPr="004536C2">
        <w:rPr>
          <w:rFonts w:ascii="Arial" w:eastAsia="Times New Roman" w:hAnsi="Arial" w:cs="Arial"/>
          <w:sz w:val="18"/>
          <w:szCs w:val="18"/>
          <w:lang w:eastAsia="cs-CZ"/>
        </w:rPr>
        <w:t>došlo</w:t>
      </w:r>
      <w:proofErr w:type="gramEnd"/>
      <w:r w:rsidRPr="004536C2">
        <w:rPr>
          <w:rFonts w:ascii="Arial" w:eastAsia="Times New Roman" w:hAnsi="Arial" w:cs="Arial"/>
          <w:sz w:val="18"/>
          <w:szCs w:val="18"/>
          <w:lang w:eastAsia="cs-CZ"/>
        </w:rPr>
        <w:t xml:space="preserve"> ke změně metodiky </w:t>
      </w:r>
      <w:proofErr w:type="gramStart"/>
      <w:r w:rsidRPr="004536C2">
        <w:rPr>
          <w:rFonts w:ascii="Arial" w:eastAsia="Times New Roman" w:hAnsi="Arial" w:cs="Arial"/>
          <w:sz w:val="18"/>
          <w:szCs w:val="18"/>
          <w:lang w:eastAsia="cs-CZ"/>
        </w:rPr>
        <w:t>viz</w:t>
      </w:r>
      <w:proofErr w:type="gramEnd"/>
      <w:r w:rsidRPr="004536C2">
        <w:rPr>
          <w:rFonts w:ascii="Arial" w:eastAsia="Times New Roman" w:hAnsi="Arial" w:cs="Arial"/>
          <w:sz w:val="18"/>
          <w:szCs w:val="18"/>
          <w:lang w:eastAsia="cs-CZ"/>
        </w:rPr>
        <w:t xml:space="preserve"> předchozí tabulka</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 xml:space="preserve">V roce 2016 bylo uloženo na skládky pouze cca 12% hlášených odpadů a cca 3% bylo odstraněno.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Energetickým využitím se rozumí použití odpadů způsobem obdobným jako palivo, za účelem získání jejich energetického obsahu nebo jiným způsobem k výrobě energie. Při tomto způsobu využití musí být dále splněna podmínka, že použitý odpad nepotřebuje po vlastním zapálení ke spalování jiné podpůrné palivo a vznikající teplo musí být využito pro potřebu vlastní nebo dalších osob. Tyto podmínky jsou v případě spalování směsného odpadu v ZEVO Malešice splněny.</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p>
    <w:p w:rsid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 xml:space="preserve">Od roku 2002 jsou </w:t>
      </w:r>
      <w:r w:rsidRPr="004536C2">
        <w:rPr>
          <w:rFonts w:ascii="Arial" w:eastAsia="Times New Roman" w:hAnsi="Arial" w:cs="Arial"/>
          <w:b/>
          <w:bCs/>
          <w:sz w:val="20"/>
          <w:lang w:eastAsia="cs-CZ"/>
        </w:rPr>
        <w:t>škvára a popílek z procesu energetického využívání</w:t>
      </w:r>
      <w:r w:rsidRPr="004536C2">
        <w:rPr>
          <w:rFonts w:ascii="Arial" w:eastAsia="Times New Roman" w:hAnsi="Arial" w:cs="Arial"/>
          <w:sz w:val="20"/>
          <w:lang w:eastAsia="cs-CZ"/>
        </w:rPr>
        <w:t xml:space="preserve"> částečně </w:t>
      </w:r>
      <w:r w:rsidRPr="004536C2">
        <w:rPr>
          <w:rFonts w:ascii="Arial" w:eastAsia="Times New Roman" w:hAnsi="Arial" w:cs="Arial"/>
          <w:b/>
          <w:bCs/>
          <w:sz w:val="20"/>
          <w:lang w:eastAsia="cs-CZ"/>
        </w:rPr>
        <w:t>materiálově využívány a z části ukládány na skládku</w:t>
      </w:r>
      <w:r w:rsidRPr="004536C2">
        <w:rPr>
          <w:rFonts w:ascii="Arial" w:eastAsia="Times New Roman" w:hAnsi="Arial" w:cs="Arial"/>
          <w:sz w:val="20"/>
          <w:lang w:eastAsia="cs-CZ"/>
        </w:rPr>
        <w:t>. Energetické využívání směsného odpadu bylo v prvních letech provozu poplatné ročnímu období. Pražská teplárenská, a.s. cenově upřednostňovala dodávku páry v topné sezóně. V roce 2011 byla uvedena do provozu kogenerační jednotka a energetické využití odpadu přestalo být závislé výhradně na odběru topné páry.</w:t>
      </w:r>
    </w:p>
    <w:p w:rsidR="00FF4C4B" w:rsidRDefault="00FF4C4B" w:rsidP="004536C2">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keepNext/>
        <w:autoSpaceDE w:val="0"/>
        <w:autoSpaceDN w:val="0"/>
        <w:adjustRightInd w:val="0"/>
        <w:spacing w:after="0" w:line="240" w:lineRule="auto"/>
        <w:outlineLvl w:val="0"/>
        <w:rPr>
          <w:rFonts w:ascii="Arial" w:eastAsia="Times New Roman" w:hAnsi="Arial" w:cs="Arial"/>
          <w:b/>
          <w:bCs/>
          <w:sz w:val="20"/>
          <w:u w:val="single"/>
          <w:lang w:eastAsia="cs-CZ"/>
        </w:rPr>
      </w:pPr>
      <w:r w:rsidRPr="00FF4C4B">
        <w:rPr>
          <w:rFonts w:ascii="Arial" w:eastAsia="Times New Roman" w:hAnsi="Arial" w:cs="Arial"/>
          <w:b/>
          <w:bCs/>
          <w:sz w:val="20"/>
          <w:u w:val="single"/>
          <w:lang w:eastAsia="cs-CZ"/>
        </w:rPr>
        <w:t xml:space="preserve">KOMPLEXNÍ TŘÍDĚNÝ SBĚR VYUŽITELNÝCH SLOŽEK </w:t>
      </w:r>
      <w:r w:rsidRPr="00FF4C4B">
        <w:rPr>
          <w:rFonts w:ascii="Arial" w:eastAsia="Times New Roman" w:hAnsi="Arial" w:cs="Arial"/>
          <w:b/>
          <w:bCs/>
          <w:caps/>
          <w:sz w:val="20"/>
          <w:u w:val="single"/>
          <w:lang w:eastAsia="cs-CZ"/>
        </w:rPr>
        <w:t>komunálního odpadu</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Na území hl. m. Prahy je postupně realizován Projekt hospodaření s odpady. V letech 1998 – 2001 proběhla 1. etapa a v letech 2002 – 2011 proběhla 2. etapa realizace projektu. Principem Projektu schváleného usnesením rady ZHMP č. 47 ze dne 16. 1. 1996, je celoplošný komplexní systém třídění komunálního odpadu (dále jen “KO”). V letech 2012 – 2016 byl systém nakládání s komunálními odpady realizován prostřednictvím smluv uzavřených na základě tzv. jednacích řízení bez uveřejnění („JŘBU“). S účinností od </w:t>
      </w:r>
      <w:proofErr w:type="gramStart"/>
      <w:r w:rsidRPr="00FF4C4B">
        <w:rPr>
          <w:rFonts w:ascii="Arial" w:eastAsia="Times New Roman" w:hAnsi="Arial" w:cs="Arial"/>
          <w:sz w:val="20"/>
          <w:lang w:eastAsia="cs-CZ"/>
        </w:rPr>
        <w:t>1.8.2016</w:t>
      </w:r>
      <w:proofErr w:type="gramEnd"/>
      <w:r w:rsidRPr="00FF4C4B">
        <w:rPr>
          <w:rFonts w:ascii="Arial" w:eastAsia="Times New Roman" w:hAnsi="Arial" w:cs="Arial"/>
          <w:sz w:val="20"/>
          <w:lang w:eastAsia="cs-CZ"/>
        </w:rPr>
        <w:t xml:space="preserve"> byla mezi městem a Konsorciem Pražské odpady 2016-2025 uzavřena smlouva na „Zajištění komplexního systému nakládání s komunálním odpadem na území hl. m. Prahy v období 2016 – 2025“.</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Komunální odpady se třídí na následující druhy:</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papír </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sklo směsné</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plasty směsné</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objemný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směsný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nebezpečný odpad</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kovy železné a neželezné, od 1.8:2016 probíhá formou přistavených nádob cca na 433 stanovištích tříděného odpadu sběr tzv. kovových obalů</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stavební suť,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výrobky zpětného odběru,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dřevěný odpad,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pneumatiky</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bio odpad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lastRenderedPageBreak/>
        <w:t>nápojové kartony; nádoby jsou již přistaveny na cca 2 816 stanovištích</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čiré sklo; osazeno cca 1 682 stanovišť.</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obnošený textil, oděvy a obuv</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použitý potravinářský olej a tuk</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Jednotlivé složky KO mají občané možnost odložit následujícím způsobem: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papír, nápojové kartony, sklo, plasty</w:t>
      </w:r>
      <w:r w:rsidRPr="00FF4C4B">
        <w:rPr>
          <w:rFonts w:ascii="Arial" w:eastAsia="Times New Roman" w:hAnsi="Arial" w:cs="Arial"/>
          <w:sz w:val="20"/>
          <w:lang w:eastAsia="cs-CZ"/>
        </w:rPr>
        <w:t xml:space="preserve"> </w:t>
      </w:r>
      <w:r w:rsidRPr="00FF4C4B">
        <w:rPr>
          <w:rFonts w:ascii="Arial" w:eastAsia="Times New Roman" w:hAnsi="Arial" w:cs="Arial"/>
          <w:b/>
          <w:sz w:val="20"/>
          <w:lang w:eastAsia="cs-CZ"/>
        </w:rPr>
        <w:t>a kovové obaly</w:t>
      </w:r>
      <w:r w:rsidRPr="00FF4C4B">
        <w:rPr>
          <w:rFonts w:ascii="Arial" w:eastAsia="Times New Roman" w:hAnsi="Arial" w:cs="Arial"/>
          <w:sz w:val="20"/>
          <w:lang w:eastAsia="cs-CZ"/>
        </w:rPr>
        <w:t xml:space="preserve"> do sběrných nádob, určených na tyto složky KO, přímo na ulicích nebo v domech (na území Pražské památkové rezervace), tyto odpady lze odložit i ve sběrných dvorech města;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objemný odpad</w:t>
      </w:r>
      <w:r w:rsidRPr="00FF4C4B">
        <w:rPr>
          <w:rFonts w:ascii="Arial" w:eastAsia="Times New Roman" w:hAnsi="Arial" w:cs="Arial"/>
          <w:sz w:val="20"/>
          <w:lang w:eastAsia="cs-CZ"/>
        </w:rPr>
        <w:t xml:space="preserve"> do velkoobjemových kontejnerů umísťovaných na ulicích v pravidelných intervalech, tento odpad lze odložit i ve sběrných dvorech města, a v mobilních sběrných dvorech,</w:t>
      </w:r>
    </w:p>
    <w:p w:rsidR="00FF4C4B" w:rsidRP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 xml:space="preserve">bioodpad </w:t>
      </w:r>
      <w:r w:rsidRPr="00FF4C4B">
        <w:rPr>
          <w:rFonts w:ascii="Arial" w:eastAsia="Times New Roman" w:hAnsi="Arial" w:cs="Arial"/>
          <w:bCs/>
          <w:sz w:val="20"/>
          <w:lang w:eastAsia="cs-CZ"/>
        </w:rPr>
        <w:t>do velkoobjemových kontejnerů určených pro sběr bio odpadu</w:t>
      </w:r>
      <w:r w:rsidRPr="00FF4C4B">
        <w:rPr>
          <w:rFonts w:ascii="Arial" w:eastAsia="Times New Roman" w:hAnsi="Arial" w:cs="Arial"/>
          <w:sz w:val="20"/>
          <w:lang w:eastAsia="cs-CZ"/>
        </w:rPr>
        <w:t xml:space="preserve"> umísťovaných na ulicích v pravidelných intervalech, tento odpad lze odložit i ve sběrných dvorech města a v mobilních sběrných dvorech, dále také na stabilní sběrné místo v Praze 10 Malešicích;</w:t>
      </w:r>
    </w:p>
    <w:p w:rsidR="00FF4C4B" w:rsidRP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směsný odpad</w:t>
      </w:r>
      <w:r w:rsidRPr="00FF4C4B">
        <w:rPr>
          <w:rFonts w:ascii="Arial" w:eastAsia="Times New Roman" w:hAnsi="Arial" w:cs="Arial"/>
          <w:sz w:val="20"/>
          <w:lang w:eastAsia="cs-CZ"/>
        </w:rPr>
        <w:t xml:space="preserve"> do sběrných nádob umístěných v domovním vybavení každé nemovitosti, případně na pozemní komunikaci, </w:t>
      </w:r>
    </w:p>
    <w:p w:rsidR="00FF4C4B" w:rsidRPr="00FF4C4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t xml:space="preserve">nebezpečný odpad </w:t>
      </w:r>
      <w:r w:rsidRPr="00FF4C4B">
        <w:rPr>
          <w:rFonts w:ascii="Arial" w:eastAsia="Times New Roman" w:hAnsi="Arial" w:cs="Arial"/>
          <w:sz w:val="20"/>
          <w:lang w:eastAsia="cs-CZ"/>
        </w:rPr>
        <w:t xml:space="preserve">(rozpouštědla, kyseliny, zásady, fotochemikálie, pesticidy, zářivky a jiný odpad obsahující rtuť, olej a tuk (vyjma jedlého), barvy, tiskařské barvy, lepidla, pryskyřice, detergenty a odmašťovací přípravky, nepoužitelná cytostatika a léky, baterie a akumulátory, </w:t>
      </w:r>
      <w:r w:rsidRPr="00FF4C4B">
        <w:rPr>
          <w:rFonts w:ascii="Arial (W1)" w:eastAsia="Times New Roman" w:hAnsi="Arial (W1)" w:cs="Arial"/>
          <w:sz w:val="20"/>
          <w:lang w:eastAsia="cs-CZ"/>
        </w:rPr>
        <w:t xml:space="preserve">při mobilním sběru, ve sběrných dvorech města a stabilních sběrných místech, </w:t>
      </w:r>
      <w:r w:rsidRPr="00FF4C4B">
        <w:rPr>
          <w:rFonts w:ascii="Arial" w:eastAsia="Times New Roman" w:hAnsi="Arial" w:cs="Arial"/>
          <w:sz w:val="20"/>
          <w:lang w:eastAsia="cs-CZ"/>
        </w:rPr>
        <w:t xml:space="preserve">v lékárnách (nepoužitelné léky). </w:t>
      </w:r>
    </w:p>
    <w:p w:rsidR="00FF4C4B" w:rsidRPr="00FF4C4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b/>
          <w:bCs/>
          <w:strike/>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t xml:space="preserve">kovy železné a neželezné </w:t>
      </w:r>
      <w:r w:rsidRPr="00FF4C4B">
        <w:rPr>
          <w:rFonts w:ascii="Arial" w:eastAsia="Times New Roman" w:hAnsi="Arial" w:cs="Arial"/>
          <w:sz w:val="20"/>
          <w:lang w:eastAsia="cs-CZ"/>
        </w:rPr>
        <w:t xml:space="preserve">tento odpad lze odložit ve sběrných dvorech města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dřevěný odpad </w:t>
      </w:r>
      <w:r w:rsidRPr="00FF4C4B">
        <w:rPr>
          <w:rFonts w:ascii="Arial" w:eastAsia="Times New Roman" w:hAnsi="Arial" w:cs="Arial"/>
          <w:sz w:val="20"/>
          <w:lang w:eastAsia="cs-CZ"/>
        </w:rPr>
        <w:t>tento odpad lze odložit ve sběrných dvorech města a v mobilních sběrných dvorech,</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Cs/>
          <w:sz w:val="20"/>
          <w:lang w:eastAsia="cs-CZ"/>
        </w:rPr>
      </w:pPr>
      <w:r w:rsidRPr="00FF4C4B">
        <w:rPr>
          <w:rFonts w:ascii="Arial" w:eastAsia="Times New Roman" w:hAnsi="Arial" w:cs="Arial"/>
          <w:b/>
          <w:bCs/>
          <w:sz w:val="20"/>
          <w:lang w:eastAsia="cs-CZ"/>
        </w:rPr>
        <w:t xml:space="preserve">stavební suť, výrobky zpětného odběru, pneumatiky </w:t>
      </w:r>
      <w:r w:rsidRPr="00FF4C4B">
        <w:rPr>
          <w:rFonts w:ascii="Arial" w:eastAsia="Times New Roman" w:hAnsi="Arial" w:cs="Arial"/>
          <w:bCs/>
          <w:sz w:val="20"/>
          <w:lang w:eastAsia="cs-CZ"/>
        </w:rPr>
        <w:t>- ve sběrných dvorech města</w:t>
      </w:r>
      <w:r w:rsidRPr="00FF4C4B">
        <w:rPr>
          <w:rFonts w:ascii="Arial" w:eastAsia="Times New Roman" w:hAnsi="Arial" w:cs="Arial"/>
          <w:b/>
          <w:bCs/>
          <w:sz w:val="20"/>
          <w:lang w:eastAsia="cs-CZ"/>
        </w:rPr>
        <w:t xml:space="preserve">, </w:t>
      </w:r>
      <w:r w:rsidRPr="00FF4C4B">
        <w:rPr>
          <w:rFonts w:ascii="Arial" w:eastAsia="Times New Roman" w:hAnsi="Arial" w:cs="Arial"/>
          <w:bCs/>
          <w:sz w:val="20"/>
          <w:lang w:eastAsia="cs-CZ"/>
        </w:rPr>
        <w:t xml:space="preserve">od </w:t>
      </w:r>
      <w:proofErr w:type="gramStart"/>
      <w:r w:rsidRPr="00FF4C4B">
        <w:rPr>
          <w:rFonts w:ascii="Arial" w:eastAsia="Times New Roman" w:hAnsi="Arial" w:cs="Arial"/>
          <w:bCs/>
          <w:sz w:val="20"/>
          <w:lang w:eastAsia="cs-CZ"/>
        </w:rPr>
        <w:t>23.7.2015</w:t>
      </w:r>
      <w:proofErr w:type="gramEnd"/>
      <w:r w:rsidRPr="00FF4C4B">
        <w:rPr>
          <w:rFonts w:ascii="Arial" w:eastAsia="Times New Roman" w:hAnsi="Arial" w:cs="Arial"/>
          <w:bCs/>
          <w:sz w:val="20"/>
          <w:lang w:eastAsia="cs-CZ"/>
        </w:rPr>
        <w:t xml:space="preserve"> stavební suť odebírána rovněž v rámci mobilních sběrných dvorů</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obnošený textil, oděvy a obuv </w:t>
      </w:r>
      <w:r w:rsidRPr="00FF4C4B">
        <w:rPr>
          <w:rFonts w:ascii="Arial" w:eastAsia="Times New Roman" w:hAnsi="Arial" w:cs="Arial"/>
          <w:bCs/>
          <w:sz w:val="20"/>
          <w:lang w:eastAsia="cs-CZ"/>
        </w:rPr>
        <w:t>lze odevzdat ve sběrných dvorech města</w:t>
      </w:r>
    </w:p>
    <w:p w:rsidR="00FF4C4B" w:rsidRPr="00FF4C4B"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sz w:val="20"/>
          <w:lang w:eastAsia="cs-CZ"/>
        </w:rPr>
        <w:t>použitý potravinářský olej a tuk</w:t>
      </w:r>
      <w:r w:rsidRPr="00FF4C4B">
        <w:rPr>
          <w:rFonts w:ascii="Arial" w:eastAsia="Times New Roman" w:hAnsi="Arial" w:cs="Arial"/>
          <w:sz w:val="20"/>
          <w:lang w:eastAsia="cs-CZ"/>
        </w:rPr>
        <w:t xml:space="preserve"> lze odevzdat ve sběrných dvorech města</w:t>
      </w:r>
    </w:p>
    <w:p w:rsidR="00FF4C4B" w:rsidRPr="00FF4C4B"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sz w:val="20"/>
          <w:lang w:eastAsia="cs-CZ"/>
        </w:rPr>
        <w:t>doplňkový sběr -</w:t>
      </w:r>
      <w:r w:rsidRPr="00FF4C4B">
        <w:rPr>
          <w:rFonts w:ascii="Arial" w:eastAsia="Times New Roman" w:hAnsi="Arial" w:cs="Arial"/>
          <w:b/>
          <w:bCs/>
          <w:lang w:eastAsia="cs-CZ"/>
        </w:rPr>
        <w:t xml:space="preserve"> </w:t>
      </w:r>
      <w:r w:rsidRPr="00FF4C4B">
        <w:rPr>
          <w:rFonts w:ascii="Arial" w:eastAsia="Times New Roman" w:hAnsi="Arial" w:cs="Arial"/>
          <w:sz w:val="20"/>
          <w:lang w:eastAsia="cs-CZ"/>
        </w:rPr>
        <w:t xml:space="preserve">v rámci doplňkového sběru mohou děti odkládat papír ve školách zapojených do soutěže ve sběru starého papíru, pořádané Českými sběrnými surovinami pod patronátem Magistrátu hl. m. Prahy, či společnostmi Pražské služby, a.s., FCC Česká republika, </w:t>
      </w:r>
      <w:proofErr w:type="spellStart"/>
      <w:r w:rsidRPr="00FF4C4B">
        <w:rPr>
          <w:rFonts w:ascii="Arial" w:eastAsia="Times New Roman" w:hAnsi="Arial" w:cs="Arial"/>
          <w:sz w:val="20"/>
          <w:lang w:eastAsia="cs-CZ"/>
        </w:rPr>
        <w:t>s.r.o</w:t>
      </w:r>
      <w:proofErr w:type="spellEnd"/>
      <w:r w:rsidRPr="00FF4C4B">
        <w:rPr>
          <w:rFonts w:ascii="Arial" w:eastAsia="Times New Roman" w:hAnsi="Arial" w:cs="Arial"/>
          <w:sz w:val="20"/>
          <w:lang w:eastAsia="cs-CZ"/>
        </w:rPr>
        <w:t xml:space="preserve">, </w:t>
      </w:r>
      <w:proofErr w:type="spellStart"/>
      <w:r w:rsidRPr="00FF4C4B">
        <w:rPr>
          <w:rFonts w:ascii="Arial" w:eastAsia="Times New Roman" w:hAnsi="Arial" w:cs="Arial"/>
          <w:sz w:val="20"/>
          <w:lang w:eastAsia="cs-CZ"/>
        </w:rPr>
        <w:t>LeoCzech</w:t>
      </w:r>
      <w:proofErr w:type="spellEnd"/>
      <w:r w:rsidRPr="00FF4C4B">
        <w:rPr>
          <w:rFonts w:ascii="Arial" w:eastAsia="Times New Roman" w:hAnsi="Arial" w:cs="Arial"/>
          <w:sz w:val="20"/>
          <w:lang w:eastAsia="cs-CZ"/>
        </w:rPr>
        <w:t xml:space="preserve"> s.r.o.</w:t>
      </w:r>
    </w:p>
    <w:p w:rsidR="004536C2"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 xml:space="preserve">Směsný odpad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327902"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563C93">
        <w:rPr>
          <w:rFonts w:ascii="Arial" w:eastAsia="Times New Roman" w:hAnsi="Arial" w:cs="Arial"/>
          <w:sz w:val="20"/>
          <w:lang w:eastAsia="cs-CZ"/>
        </w:rPr>
        <w:t xml:space="preserve">Dostatečný objem sběrných nádob na směsný odpad zajišťovali vlastníci nebo správci nemovitostí. Počet sběrných nádob u jednotlivých nemovitostí se postupně navyšoval. Současný počet sběrných nádob na směsný komunální odpad je cca 117 620. Během posledních let došlo v důsledku změn zákona o odpadech několikrát ke změnám souvisejícím s přistavováním sběrných nádob na směsný odpad. Vlastníci objektů se při zajišťování dostatečného objemu sběrných nádob snažili optimalizovat objednávky tak, aby byly náklady spojené se svozem odpadu pro jednotlivé objekty co možná nejnižší. </w:t>
      </w:r>
    </w:p>
    <w:p w:rsidR="00327902" w:rsidRDefault="00327902"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p>
    <w:p w:rsidR="00563C93" w:rsidRPr="00563C93"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327902">
        <w:rPr>
          <w:rFonts w:ascii="Arial" w:eastAsia="Times New Roman" w:hAnsi="Arial" w:cs="Arial"/>
          <w:sz w:val="20"/>
          <w:lang w:eastAsia="cs-CZ"/>
        </w:rPr>
        <w:t>Přesto se průměrný</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objem na jednoho obyvatele a týden</w:t>
      </w:r>
      <w:r w:rsidR="00327902" w:rsidRPr="00327902">
        <w:rPr>
          <w:rFonts w:ascii="Arial" w:eastAsia="Times New Roman" w:hAnsi="Arial" w:cs="Arial"/>
          <w:sz w:val="20"/>
          <w:lang w:eastAsia="cs-CZ"/>
        </w:rPr>
        <w:t xml:space="preserve"> vycházející z aktuálního počtu nádob při dané frekvenci</w:t>
      </w:r>
      <w:r w:rsidRPr="00327902">
        <w:rPr>
          <w:rFonts w:ascii="Arial" w:eastAsia="Times New Roman" w:hAnsi="Arial" w:cs="Arial"/>
          <w:sz w:val="20"/>
          <w:lang w:eastAsia="cs-CZ"/>
        </w:rPr>
        <w:t xml:space="preserve"> mírně zvyšoval z 36,4 litrů v roce 1998 na 37,3 litrů v roce 2001. Po zavedení kapitační platby v roce 2002 se tento průměrný objem na základě požadavků obyvatel zvyšoval podstatně rychleji, v polovině roku činil 42,6 litrů na osobu a týden a koncem roku 2002 tento objem</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 xml:space="preserve">stoupl na 43,8 litrů na osobu a týden. V roce 2003 došlo opět ze strany vlastníků nemovitostí k úpravě objemu sběrných nádob. Koncem roku 2003 bylo obsluhováno v průměru 42,3 litrů na osobu a týden. </w:t>
      </w:r>
      <w:r w:rsidR="00746856">
        <w:rPr>
          <w:rFonts w:ascii="Arial" w:eastAsia="Times New Roman" w:hAnsi="Arial" w:cs="Arial"/>
          <w:sz w:val="20"/>
          <w:lang w:eastAsia="cs-CZ"/>
        </w:rPr>
        <w:t xml:space="preserve">V současné době se tento průměr </w:t>
      </w:r>
      <w:r w:rsidRPr="00327902">
        <w:rPr>
          <w:rFonts w:ascii="Arial" w:eastAsia="Times New Roman" w:hAnsi="Arial" w:cs="Arial"/>
          <w:sz w:val="20"/>
          <w:lang w:eastAsia="cs-CZ"/>
        </w:rPr>
        <w:t>udržuje na této úrovni.</w:t>
      </w:r>
      <w:r w:rsidRPr="00563C93">
        <w:rPr>
          <w:rFonts w:ascii="Arial" w:eastAsia="Times New Roman" w:hAnsi="Arial" w:cs="Arial"/>
          <w:sz w:val="20"/>
          <w:lang w:eastAsia="cs-CZ"/>
        </w:rPr>
        <w:t xml:space="preserve"> </w:t>
      </w: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Produkce směsného odpadu z nádob umístěných v domovním vybavení nebo v ulicích města (v tisících t):</w:t>
      </w:r>
    </w:p>
    <w:tbl>
      <w:tblPr>
        <w:tblW w:w="5672" w:type="dxa"/>
        <w:tblInd w:w="55" w:type="dxa"/>
        <w:tblCellMar>
          <w:left w:w="70" w:type="dxa"/>
          <w:right w:w="70" w:type="dxa"/>
        </w:tblCellMar>
        <w:tblLook w:val="04A0" w:firstRow="1" w:lastRow="0" w:firstColumn="1" w:lastColumn="0" w:noHBand="0" w:noVBand="1"/>
      </w:tblPr>
      <w:tblGrid>
        <w:gridCol w:w="966"/>
        <w:gridCol w:w="2494"/>
        <w:gridCol w:w="2212"/>
      </w:tblGrid>
      <w:tr w:rsidR="00563C93" w:rsidRPr="00563C93" w:rsidTr="00563C93">
        <w:trPr>
          <w:trHeight w:val="253"/>
        </w:trPr>
        <w:tc>
          <w:tcPr>
            <w:tcW w:w="966"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rok</w:t>
            </w:r>
          </w:p>
        </w:tc>
        <w:tc>
          <w:tcPr>
            <w:tcW w:w="2494"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množství odpadu v tis. t</w:t>
            </w:r>
          </w:p>
        </w:tc>
        <w:tc>
          <w:tcPr>
            <w:tcW w:w="221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meziroční nárůst</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1998</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210,5</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1999</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208,6</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-0,85%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2000</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209,9</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0,57%</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2001</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211,8</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0,95%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226,7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6,99%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lastRenderedPageBreak/>
              <w:t>2003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230,2</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1,54%</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2004</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0,35%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2005</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234,7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1,02%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2006</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237,7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1,29%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2007</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240,3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1,11%</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2008</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1,16%</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2009</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244,6</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2010</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245,1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2011</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246,8</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- 0,41%</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2014</w:t>
            </w:r>
          </w:p>
        </w:tc>
        <w:tc>
          <w:tcPr>
            <w:tcW w:w="2494"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246,2</w:t>
            </w:r>
          </w:p>
        </w:tc>
        <w:tc>
          <w:tcPr>
            <w:tcW w:w="221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-0,04%</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2015</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0,40%</w:t>
            </w:r>
          </w:p>
        </w:tc>
      </w:tr>
      <w:tr w:rsidR="00563C93" w:rsidRPr="00563C93" w:rsidTr="00563C93">
        <w:trPr>
          <w:trHeight w:val="213"/>
        </w:trPr>
        <w:tc>
          <w:tcPr>
            <w:tcW w:w="966" w:type="dxa"/>
            <w:tcBorders>
              <w:top w:val="single" w:sz="8" w:space="0" w:color="auto"/>
              <w:left w:val="single" w:sz="12" w:space="0" w:color="auto"/>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2016</w:t>
            </w:r>
          </w:p>
        </w:tc>
        <w:tc>
          <w:tcPr>
            <w:tcW w:w="2494"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249,2</w:t>
            </w:r>
          </w:p>
        </w:tc>
        <w:tc>
          <w:tcPr>
            <w:tcW w:w="2212" w:type="dxa"/>
            <w:tcBorders>
              <w:top w:val="single" w:sz="8" w:space="0" w:color="auto"/>
              <w:left w:val="nil"/>
              <w:bottom w:val="single" w:sz="12"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0,81 %</w:t>
            </w:r>
          </w:p>
        </w:tc>
      </w:tr>
    </w:tbl>
    <w:p w:rsidR="00563C93" w:rsidRPr="00563C93" w:rsidRDefault="00563C93" w:rsidP="00973E3C">
      <w:pPr>
        <w:autoSpaceDE w:val="0"/>
        <w:autoSpaceDN w:val="0"/>
        <w:adjustRightInd w:val="0"/>
        <w:spacing w:after="0" w:line="240" w:lineRule="auto"/>
        <w:jc w:val="both"/>
        <w:rPr>
          <w:rFonts w:ascii="Arial" w:eastAsia="Times New Roman" w:hAnsi="Arial" w:cs="Arial"/>
          <w:sz w:val="20"/>
          <w:szCs w:val="20"/>
          <w:highlight w:val="yellow"/>
          <w:lang w:eastAsia="cs-CZ"/>
        </w:rPr>
      </w:pPr>
    </w:p>
    <w:p w:rsidR="00563C93" w:rsidRPr="00563C93" w:rsidRDefault="00563C93" w:rsidP="00973E3C">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 xml:space="preserve">Mimo směsného komunálního odpadu pocházejícího z nádob od občanů, hl. m. Praha jako původce odpadů ještě hlásí směsný odpad pocházející z domovů pro seniory, z ÚMČ, z pražských náplavek, z budov MHMP, z TSK a z aquacentra </w:t>
      </w:r>
      <w:proofErr w:type="spellStart"/>
      <w:r w:rsidRPr="00563C93">
        <w:rPr>
          <w:rFonts w:ascii="Arial" w:eastAsia="Times New Roman" w:hAnsi="Arial" w:cs="Arial"/>
          <w:sz w:val="20"/>
          <w:szCs w:val="20"/>
          <w:lang w:eastAsia="cs-CZ"/>
        </w:rPr>
        <w:t>Šutka</w:t>
      </w:r>
      <w:proofErr w:type="spellEnd"/>
      <w:r w:rsidRPr="00563C93">
        <w:rPr>
          <w:rFonts w:ascii="Arial" w:eastAsia="Times New Roman" w:hAnsi="Arial" w:cs="Arial"/>
          <w:sz w:val="20"/>
          <w:szCs w:val="20"/>
          <w:lang w:eastAsia="cs-CZ"/>
        </w:rPr>
        <w:t>. V roce 2016 se jednalo o množství 6 499,61 t.</w:t>
      </w:r>
    </w:p>
    <w:p w:rsidR="00114158" w:rsidRPr="00114158" w:rsidRDefault="00114158" w:rsidP="00973E3C">
      <w:pPr>
        <w:autoSpaceDE w:val="0"/>
        <w:autoSpaceDN w:val="0"/>
        <w:adjustRightInd w:val="0"/>
        <w:spacing w:after="0" w:line="240" w:lineRule="auto"/>
        <w:jc w:val="both"/>
        <w:rPr>
          <w:rFonts w:ascii="Arial" w:eastAsia="Times New Roman" w:hAnsi="Arial" w:cs="Arial"/>
          <w:b/>
          <w:sz w:val="20"/>
          <w:szCs w:val="24"/>
          <w:lang w:eastAsia="cs-CZ"/>
        </w:rPr>
      </w:pPr>
    </w:p>
    <w:p w:rsidR="00114158" w:rsidRPr="00114158" w:rsidRDefault="00114158" w:rsidP="00973E3C">
      <w:pPr>
        <w:autoSpaceDE w:val="0"/>
        <w:autoSpaceDN w:val="0"/>
        <w:adjustRightInd w:val="0"/>
        <w:spacing w:after="0" w:line="240" w:lineRule="auto"/>
        <w:jc w:val="both"/>
        <w:rPr>
          <w:rFonts w:ascii="Arial" w:eastAsia="Times New Roman" w:hAnsi="Arial" w:cs="Arial"/>
          <w:b/>
          <w:sz w:val="20"/>
          <w:szCs w:val="24"/>
          <w:lang w:eastAsia="cs-CZ"/>
        </w:rPr>
      </w:pPr>
      <w:r w:rsidRPr="00114158">
        <w:rPr>
          <w:rFonts w:ascii="Arial" w:eastAsia="Times New Roman" w:hAnsi="Arial" w:cs="Arial"/>
          <w:b/>
          <w:sz w:val="20"/>
          <w:szCs w:val="24"/>
          <w:lang w:eastAsia="cs-CZ"/>
        </w:rPr>
        <w:t>Sběr vánočních stromků v rámci směsného odpadu</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Vánoční stromky mají obyvatelé možnost odkládat v období vánoc a začátku nového roku (prosinec – leden) ke sběrným nádobám na směsný odpad. Svozové společnosti zajišťují jejich svoz v rámci</w:t>
      </w:r>
      <w:r w:rsidR="00594D03">
        <w:rPr>
          <w:rFonts w:ascii="Arial" w:eastAsia="Times New Roman" w:hAnsi="Arial" w:cs="Arial"/>
          <w:sz w:val="20"/>
          <w:szCs w:val="24"/>
          <w:lang w:eastAsia="cs-CZ"/>
        </w:rPr>
        <w:t xml:space="preserve"> sběru a svozu směsného odpadu. </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p>
    <w:p w:rsidR="00563C93"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Náklady za svoz a odstranění vánočních stromků jsou od roku 2015 zakalkulovány v ceně za svoz a energetické využití směsného komunálního odpadu.</w:t>
      </w:r>
    </w:p>
    <w:p w:rsidR="00563C93" w:rsidRDefault="00563C93" w:rsidP="00563C93">
      <w:pPr>
        <w:autoSpaceDE w:val="0"/>
        <w:autoSpaceDN w:val="0"/>
        <w:adjustRightInd w:val="0"/>
        <w:spacing w:after="0" w:line="240" w:lineRule="auto"/>
        <w:jc w:val="both"/>
        <w:rPr>
          <w:rFonts w:ascii="Arial" w:eastAsia="Times New Roman" w:hAnsi="Arial" w:cs="Arial"/>
          <w:sz w:val="20"/>
          <w:szCs w:val="24"/>
          <w:lang w:eastAsia="cs-CZ"/>
        </w:rPr>
      </w:pPr>
    </w:p>
    <w:p w:rsidR="00563C93" w:rsidRPr="00563C93" w:rsidRDefault="00563C93" w:rsidP="00563C93">
      <w:pPr>
        <w:keepNext/>
        <w:autoSpaceDE w:val="0"/>
        <w:autoSpaceDN w:val="0"/>
        <w:adjustRightInd w:val="0"/>
        <w:spacing w:after="0" w:line="240" w:lineRule="auto"/>
        <w:jc w:val="both"/>
        <w:outlineLvl w:val="3"/>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PAPÍRU, SKLA, PLASTŮ, NÁPOJOVÝCH KARTONŮ A KOVOVÝCH OBALŮ</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V současné době je v rámci celoplošného systému třídění v donáškovém systému na území města zřízeno cca 4 600 sběrných míst (včetně nádob v domech na území Pražské památkové rezervace) pro papír, sklo, plasty, nápojové kartony a kovové obaly. Po dosažení cílového stavu – 1 sběrné místo pro cca 500 obyvatel v zástavbě bytových domů a 1 sběrné místo pro cca 200 obyvatel v zástavbě rodinných domů – dochází nyní k minimálnímu navyšování počtu sběrných míst – (pouze v oblastech kde dochází k trvalému přeplňování sběrných nádob a v oblastech nové bytové výstavby). Rozvoj systému je řešen zejména navyšováním četnosti odvozu jednotlivých nádob.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w:t>
      </w:r>
      <w:r w:rsidRPr="00563C93">
        <w:rPr>
          <w:rFonts w:ascii="Arial" w:eastAsia="Times New Roman" w:hAnsi="Arial" w:cs="Arial"/>
          <w:sz w:val="20"/>
          <w:u w:val="single"/>
          <w:lang w:eastAsia="cs-CZ"/>
        </w:rPr>
        <w:t>donáškovém systému</w:t>
      </w:r>
      <w:r w:rsidRPr="00563C93">
        <w:rPr>
          <w:rFonts w:ascii="Arial" w:eastAsia="Times New Roman" w:hAnsi="Arial" w:cs="Arial"/>
          <w:sz w:val="20"/>
          <w:lang w:eastAsia="cs-CZ"/>
        </w:rPr>
        <w:t xml:space="preserve"> jsou uplatněny sběrné nádoby (kontejnery) o objemu 1 100 - 4000 litrů, s horním nebo spodním výsypem, v případě nápojových kartonů a kovů i nádoby s objemem 240 litrů. </w:t>
      </w:r>
      <w:r w:rsidRPr="00563C93">
        <w:rPr>
          <w:rFonts w:ascii="Arial" w:eastAsia="Times New Roman" w:hAnsi="Arial" w:cs="Arial"/>
          <w:b/>
          <w:bCs/>
          <w:sz w:val="20"/>
          <w:lang w:eastAsia="cs-CZ"/>
        </w:rPr>
        <w:t>Ke konci roku 2016 bylo  v ulicích města osazeno cca 3 347 sběrných míst z toho 103 stanovišť podzemních kontejnerů.</w:t>
      </w:r>
      <w:r w:rsidRPr="00563C93">
        <w:rPr>
          <w:rFonts w:ascii="Arial" w:eastAsia="Times New Roman" w:hAnsi="Arial" w:cs="Arial"/>
          <w:sz w:val="20"/>
          <w:lang w:eastAsia="cs-CZ"/>
        </w:rPr>
        <w:t xml:space="preserve"> Sběrné nádoby jsou v donáškovém systému rozmístěny tak, že 1 sběrné místo slouží v průměru 375 obyvatelům. Vedle toho je na území Pražské památkové rezervace od roku 1998 uplatňován v kombinaci s donáškovým systémem tzv. </w:t>
      </w:r>
      <w:proofErr w:type="spellStart"/>
      <w:r w:rsidRPr="00563C93">
        <w:rPr>
          <w:rFonts w:ascii="Arial" w:eastAsia="Times New Roman" w:hAnsi="Arial" w:cs="Arial"/>
          <w:sz w:val="20"/>
          <w:u w:val="single"/>
          <w:lang w:eastAsia="cs-CZ"/>
        </w:rPr>
        <w:t>odvozný</w:t>
      </w:r>
      <w:proofErr w:type="spellEnd"/>
      <w:r w:rsidRPr="00563C93">
        <w:rPr>
          <w:rFonts w:ascii="Arial" w:eastAsia="Times New Roman" w:hAnsi="Arial" w:cs="Arial"/>
          <w:sz w:val="20"/>
          <w:u w:val="single"/>
          <w:lang w:eastAsia="cs-CZ"/>
        </w:rPr>
        <w:t xml:space="preserve"> systém tříděného sběru</w:t>
      </w:r>
      <w:r w:rsidRPr="00563C93">
        <w:rPr>
          <w:rFonts w:ascii="Arial" w:eastAsia="Times New Roman" w:hAnsi="Arial" w:cs="Arial"/>
          <w:sz w:val="20"/>
          <w:lang w:eastAsia="cs-CZ"/>
        </w:rPr>
        <w:t xml:space="preserve">, kdy jsou plastové sběrné nádoby o objemu 120 a 240 litrů umístěny přímo v bytových objektech. Ke konci roku 2016 byly nádoby na tříděný odpad umístěny v cca 1 250 objektech. Tento druh sběru by se mohl v budoucnosti rozšířit i mimo oblast PPR, především v hustě osídlených městských částech, kde je problém s nedostatkem prostoru a nepořádkem v okolí separačních stání.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roce 2016 rovněž probíhal pilotní projekt na sledování čistoty sběru vlivem umístění nádob v domovním vybavení na území MČ Prahy 7. Tento projekt se osvědčil a ve spolupráci s městskou částí Praha 7 jsou na vytipovaných místech na tomto území zřizována další domovní stanoviště.</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Umístění sběrných míst určují městské části po konzultaci se svozovými společnostmi. Počet sběrných míst odpovídá počtu obyvatel a typu zástavby. Každé sběrné místo musí mít povolené zvláštní užívání komunikace (pokud je umístěno na pozemní komunikaci - na vozovce, na chodníku apod.).</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Pod patronátem Magistrátu hl. m. Prahy probíhá již několikátým rokem soutěž základních škol ve sběru starého papíru. Tímto způsobem se získává další část vytříděného papíru, výhodou tohoto sběru je skutečnost, že hl. m. Praha zde nemusí hradit žádné náklady. Ty nese provozovatel sběru České sběrné suroviny, a.s. Tržby z tříděného papíru jsou příjmem příslušné školy. Vyhodnocené školy (podle </w:t>
      </w:r>
      <w:r w:rsidRPr="006C23A0">
        <w:rPr>
          <w:rFonts w:ascii="Arial" w:eastAsia="Times New Roman" w:hAnsi="Arial" w:cs="Arial"/>
          <w:sz w:val="20"/>
          <w:lang w:eastAsia="cs-CZ"/>
        </w:rPr>
        <w:t xml:space="preserve">maximálního množství i podle průměru na žáka) získávají při vyhodnocení ceny od provozovatele sběru. </w:t>
      </w:r>
      <w:r w:rsidRPr="006C23A0">
        <w:rPr>
          <w:rFonts w:ascii="Arial" w:eastAsia="Times New Roman" w:hAnsi="Arial" w:cs="Arial"/>
          <w:sz w:val="20"/>
          <w:lang w:eastAsia="cs-CZ"/>
        </w:rPr>
        <w:lastRenderedPageBreak/>
        <w:t xml:space="preserve">Kromě Českých sběrných surovin provozují sběr papíru od roku 2008 i FCC Česká republika, s.r.o., </w:t>
      </w:r>
      <w:proofErr w:type="spellStart"/>
      <w:r w:rsidRPr="006C23A0">
        <w:rPr>
          <w:rFonts w:ascii="Arial" w:eastAsia="Times New Roman" w:hAnsi="Arial" w:cs="Arial"/>
          <w:sz w:val="20"/>
          <w:lang w:eastAsia="cs-CZ"/>
        </w:rPr>
        <w:t>LeoCzech</w:t>
      </w:r>
      <w:proofErr w:type="spellEnd"/>
      <w:r w:rsidRPr="006C23A0">
        <w:rPr>
          <w:rFonts w:ascii="Arial" w:eastAsia="Times New Roman" w:hAnsi="Arial" w:cs="Arial"/>
          <w:sz w:val="20"/>
          <w:lang w:eastAsia="cs-CZ"/>
        </w:rPr>
        <w:t xml:space="preserve">, s.r.o. a Pražské služby, a.s. Celkové množství papíru, sebraného na školách v roce 2016 </w:t>
      </w:r>
      <w:proofErr w:type="gramStart"/>
      <w:r w:rsidRPr="006C23A0">
        <w:rPr>
          <w:rFonts w:ascii="Arial" w:eastAsia="Times New Roman" w:hAnsi="Arial" w:cs="Arial"/>
          <w:sz w:val="20"/>
          <w:lang w:eastAsia="cs-CZ"/>
        </w:rPr>
        <w:t>činilo</w:t>
      </w:r>
      <w:proofErr w:type="gramEnd"/>
      <w:r w:rsidRPr="006C23A0">
        <w:rPr>
          <w:rFonts w:ascii="Arial" w:eastAsia="Times New Roman" w:hAnsi="Arial" w:cs="Arial"/>
          <w:sz w:val="20"/>
          <w:lang w:eastAsia="cs-CZ"/>
        </w:rPr>
        <w:t xml:space="preserve"> 1 246,4 t.</w:t>
      </w:r>
      <w:r w:rsidRPr="00563C93">
        <w:rPr>
          <w:rFonts w:ascii="Arial" w:eastAsia="Times New Roman" w:hAnsi="Arial" w:cs="Arial"/>
          <w:sz w:val="20"/>
          <w:lang w:eastAsia="cs-CZ"/>
        </w:rPr>
        <w:t xml:space="preserve"> Mimoto se na základních školách </w:t>
      </w:r>
      <w:proofErr w:type="gramStart"/>
      <w:r w:rsidRPr="00563C93">
        <w:rPr>
          <w:rFonts w:ascii="Arial" w:eastAsia="Times New Roman" w:hAnsi="Arial" w:cs="Arial"/>
          <w:sz w:val="20"/>
          <w:lang w:eastAsia="cs-CZ"/>
        </w:rPr>
        <w:t>sbírá</w:t>
      </w:r>
      <w:proofErr w:type="gramEnd"/>
      <w:r w:rsidRPr="00563C93">
        <w:rPr>
          <w:rFonts w:ascii="Arial" w:eastAsia="Times New Roman" w:hAnsi="Arial" w:cs="Arial"/>
          <w:sz w:val="20"/>
          <w:lang w:eastAsia="cs-CZ"/>
        </w:rPr>
        <w:t xml:space="preserve"> i plast (4,1 t) a hliník (1,8). Mimo veřejných stanovišť tříděného odpadu umístěných v ulicích města a v domovním vybavení, Hl. m. Praha jako původce odpadu hlásí tříděný odpad vysbíraný v rámci služeb organizovaných ÚMČ, dále na SD hl. m. Prahy, na pražské náplavce, v budovách HMP a v aquacentru </w:t>
      </w:r>
      <w:proofErr w:type="spellStart"/>
      <w:r w:rsidRPr="00563C93">
        <w:rPr>
          <w:rFonts w:ascii="Arial" w:eastAsia="Times New Roman" w:hAnsi="Arial" w:cs="Arial"/>
          <w:sz w:val="20"/>
          <w:lang w:eastAsia="cs-CZ"/>
        </w:rPr>
        <w:t>Šutka</w:t>
      </w:r>
      <w:proofErr w:type="spellEnd"/>
      <w:r w:rsidRPr="00563C93">
        <w:rPr>
          <w:rFonts w:ascii="Arial" w:eastAsia="Times New Roman" w:hAnsi="Arial" w:cs="Arial"/>
          <w:sz w:val="20"/>
          <w:lang w:eastAsia="cs-CZ"/>
        </w:rPr>
        <w:t>. V roce 2016 toto množství činilo cca 808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Výsledky tříděného sběru papíru, skla, plastů a nápojových kartonů (tuny) umístěných v ulicích města a v domovním vybavení (zejména PPR):</w:t>
      </w:r>
    </w:p>
    <w:tbl>
      <w:tblPr>
        <w:tblW w:w="7973" w:type="dxa"/>
        <w:tblInd w:w="55" w:type="dxa"/>
        <w:tblCellMar>
          <w:left w:w="70" w:type="dxa"/>
          <w:right w:w="70" w:type="dxa"/>
        </w:tblCellMar>
        <w:tblLook w:val="04A0" w:firstRow="1" w:lastRow="0" w:firstColumn="1" w:lastColumn="0" w:noHBand="0" w:noVBand="1"/>
      </w:tblPr>
      <w:tblGrid>
        <w:gridCol w:w="965"/>
        <w:gridCol w:w="966"/>
        <w:gridCol w:w="1037"/>
        <w:gridCol w:w="966"/>
        <w:gridCol w:w="966"/>
        <w:gridCol w:w="1141"/>
        <w:gridCol w:w="966"/>
        <w:gridCol w:w="966"/>
      </w:tblGrid>
      <w:tr w:rsidR="00563C93" w:rsidRPr="00563C93" w:rsidTr="00563C93">
        <w:trPr>
          <w:trHeight w:val="528"/>
        </w:trPr>
        <w:tc>
          <w:tcPr>
            <w:tcW w:w="965" w:type="dxa"/>
            <w:tcBorders>
              <w:top w:val="single" w:sz="12" w:space="0" w:color="auto"/>
              <w:left w:val="single" w:sz="12"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papír</w:t>
            </w:r>
          </w:p>
        </w:tc>
        <w:tc>
          <w:tcPr>
            <w:tcW w:w="1037"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sklo barevné</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sklo čiré</w:t>
            </w:r>
          </w:p>
        </w:tc>
        <w:tc>
          <w:tcPr>
            <w:tcW w:w="966"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plasty</w:t>
            </w:r>
          </w:p>
        </w:tc>
        <w:tc>
          <w:tcPr>
            <w:tcW w:w="1141" w:type="dxa"/>
            <w:tcBorders>
              <w:top w:val="single" w:sz="12" w:space="0" w:color="auto"/>
              <w:left w:val="single" w:sz="8" w:space="0" w:color="auto"/>
              <w:bottom w:val="single" w:sz="8" w:space="0" w:color="000000"/>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nápojové kartony</w:t>
            </w:r>
          </w:p>
        </w:tc>
        <w:tc>
          <w:tcPr>
            <w:tcW w:w="966" w:type="dxa"/>
            <w:tcBorders>
              <w:top w:val="single" w:sz="12" w:space="0" w:color="auto"/>
              <w:left w:val="single" w:sz="8" w:space="0" w:color="auto"/>
              <w:bottom w:val="single" w:sz="4"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kovy</w:t>
            </w:r>
          </w:p>
        </w:tc>
        <w:tc>
          <w:tcPr>
            <w:tcW w:w="966" w:type="dxa"/>
            <w:tcBorders>
              <w:top w:val="single" w:sz="12" w:space="0" w:color="auto"/>
              <w:left w:val="single" w:sz="4" w:space="0" w:color="auto"/>
              <w:bottom w:val="single" w:sz="8" w:space="0" w:color="000000"/>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3 983</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2 248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684</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4" w:space="0" w:color="auto"/>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6 915</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8 205</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3 018</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2 172</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13 395</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11 152</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5 039</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3 586</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19 777</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11 501</w:t>
            </w:r>
          </w:p>
        </w:tc>
        <w:tc>
          <w:tcPr>
            <w:tcW w:w="1037"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6 016</w:t>
            </w: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4 623</w:t>
            </w:r>
          </w:p>
        </w:tc>
        <w:tc>
          <w:tcPr>
            <w:tcW w:w="1141"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shd w:val="clear" w:color="000000" w:fill="E0E0E0"/>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22 140</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13 738</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6 711</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5 081</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25 530</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16 097</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7 436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6 040</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29 573</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18 003</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7 909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6 596</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32 519</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19 214</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8 399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432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7 164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171</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35 380</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22 244</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9 119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8 114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40 729</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23 711</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10 425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9 643</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536</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45 312</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26 732</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11 805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1 529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10 609</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701</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51 376</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28 128</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11 615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2 206</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10 675</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794</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54 093</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2010</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26 162</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12 090</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2 509</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10 956</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835</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52 552</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22 636</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3 235</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11 594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50 248</w:t>
            </w:r>
          </w:p>
        </w:tc>
      </w:tr>
      <w:tr w:rsidR="00563C93" w:rsidRPr="00563C93" w:rsidTr="00563C93">
        <w:trPr>
          <w:trHeight w:val="249"/>
        </w:trPr>
        <w:tc>
          <w:tcPr>
            <w:tcW w:w="965"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22 360</w:t>
            </w:r>
          </w:p>
        </w:tc>
        <w:tc>
          <w:tcPr>
            <w:tcW w:w="1037"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12 367</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11 904</w:t>
            </w:r>
          </w:p>
        </w:tc>
        <w:tc>
          <w:tcPr>
            <w:tcW w:w="1141"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814</w:t>
            </w:r>
          </w:p>
        </w:tc>
        <w:tc>
          <w:tcPr>
            <w:tcW w:w="966" w:type="dxa"/>
            <w:tcBorders>
              <w:top w:val="nil"/>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nil"/>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50 935</w:t>
            </w:r>
          </w:p>
        </w:tc>
      </w:tr>
      <w:tr w:rsidR="00563C93" w:rsidRPr="00563C93" w:rsidTr="00563C93">
        <w:trPr>
          <w:trHeight w:val="249"/>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22 299</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12 451</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12 042</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870</w:t>
            </w:r>
          </w:p>
        </w:tc>
        <w:tc>
          <w:tcPr>
            <w:tcW w:w="966" w:type="dxa"/>
            <w:tcBorders>
              <w:top w:val="single" w:sz="8" w:space="0" w:color="auto"/>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51 977</w:t>
            </w:r>
          </w:p>
        </w:tc>
      </w:tr>
      <w:tr w:rsidR="00563C93" w:rsidRPr="00563C93" w:rsidTr="00563C9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21 207</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11 771</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3 464</w:t>
            </w:r>
          </w:p>
        </w:tc>
        <w:tc>
          <w:tcPr>
            <w:tcW w:w="966"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11 950</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897</w:t>
            </w:r>
          </w:p>
        </w:tc>
        <w:tc>
          <w:tcPr>
            <w:tcW w:w="966" w:type="dxa"/>
            <w:tcBorders>
              <w:top w:val="single" w:sz="8" w:space="0" w:color="auto"/>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49 289</w:t>
            </w:r>
          </w:p>
        </w:tc>
      </w:tr>
      <w:tr w:rsidR="00563C93" w:rsidRPr="00563C93" w:rsidTr="00563C93">
        <w:trPr>
          <w:trHeight w:val="260"/>
        </w:trPr>
        <w:tc>
          <w:tcPr>
            <w:tcW w:w="965" w:type="dxa"/>
            <w:tcBorders>
              <w:top w:val="single" w:sz="8" w:space="0" w:color="auto"/>
              <w:left w:val="single" w:sz="12" w:space="0" w:color="auto"/>
              <w:bottom w:val="single" w:sz="8" w:space="0" w:color="auto"/>
              <w:right w:val="single" w:sz="8" w:space="0" w:color="auto"/>
            </w:tcBorders>
            <w:shd w:val="clear" w:color="000000" w:fill="E0E0E0"/>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20 633</w:t>
            </w:r>
          </w:p>
        </w:tc>
        <w:tc>
          <w:tcPr>
            <w:tcW w:w="1037"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11 851</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3 572</w:t>
            </w:r>
          </w:p>
        </w:tc>
        <w:tc>
          <w:tcPr>
            <w:tcW w:w="966"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12 546</w:t>
            </w:r>
          </w:p>
        </w:tc>
        <w:tc>
          <w:tcPr>
            <w:tcW w:w="1141"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895</w:t>
            </w:r>
          </w:p>
        </w:tc>
        <w:tc>
          <w:tcPr>
            <w:tcW w:w="966" w:type="dxa"/>
            <w:tcBorders>
              <w:top w:val="single" w:sz="8" w:space="0" w:color="auto"/>
              <w:left w:val="nil"/>
              <w:bottom w:val="single" w:sz="8"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tcBorders>
              <w:top w:val="single" w:sz="8" w:space="0" w:color="auto"/>
              <w:left w:val="single" w:sz="4" w:space="0" w:color="auto"/>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49 497</w:t>
            </w:r>
          </w:p>
        </w:tc>
      </w:tr>
      <w:tr w:rsidR="00563C93" w:rsidRPr="00563C93" w:rsidTr="00563C93">
        <w:trPr>
          <w:trHeight w:val="260"/>
        </w:trPr>
        <w:tc>
          <w:tcPr>
            <w:tcW w:w="965" w:type="dxa"/>
            <w:tcBorders>
              <w:top w:val="single" w:sz="8" w:space="0" w:color="auto"/>
              <w:left w:val="single" w:sz="12" w:space="0" w:color="auto"/>
              <w:bottom w:val="single" w:sz="12" w:space="0" w:color="auto"/>
              <w:right w:val="single" w:sz="8" w:space="0" w:color="auto"/>
            </w:tcBorders>
            <w:shd w:val="clear" w:color="000000" w:fill="E0E0E0"/>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966"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21 426</w:t>
            </w:r>
          </w:p>
        </w:tc>
        <w:tc>
          <w:tcPr>
            <w:tcW w:w="1037"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13 282</w:t>
            </w:r>
          </w:p>
        </w:tc>
        <w:tc>
          <w:tcPr>
            <w:tcW w:w="966"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3 402</w:t>
            </w:r>
          </w:p>
        </w:tc>
        <w:tc>
          <w:tcPr>
            <w:tcW w:w="966"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12 827</w:t>
            </w:r>
          </w:p>
        </w:tc>
        <w:tc>
          <w:tcPr>
            <w:tcW w:w="1141"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937</w:t>
            </w:r>
          </w:p>
        </w:tc>
        <w:tc>
          <w:tcPr>
            <w:tcW w:w="966" w:type="dxa"/>
            <w:tcBorders>
              <w:top w:val="single" w:sz="8" w:space="0" w:color="auto"/>
              <w:left w:val="nil"/>
              <w:bottom w:val="single" w:sz="12" w:space="0" w:color="auto"/>
              <w:right w:val="single" w:sz="4" w:space="0" w:color="auto"/>
            </w:tcBorders>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w:t>
            </w:r>
          </w:p>
        </w:tc>
        <w:tc>
          <w:tcPr>
            <w:tcW w:w="966" w:type="dxa"/>
            <w:tcBorders>
              <w:top w:val="single" w:sz="8" w:space="0" w:color="auto"/>
              <w:left w:val="single" w:sz="4" w:space="0" w:color="auto"/>
              <w:bottom w:val="single" w:sz="12"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51 895</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xml:space="preserve">Množství tříděného sběru v letech 1998-2016 </w:t>
      </w:r>
    </w:p>
    <w:p w:rsidR="00563C93" w:rsidRPr="00563C93" w:rsidRDefault="00563C93" w:rsidP="00563C93">
      <w:pPr>
        <w:autoSpaceDE w:val="0"/>
        <w:autoSpaceDN w:val="0"/>
        <w:adjustRightInd w:val="0"/>
        <w:spacing w:after="0" w:line="240" w:lineRule="auto"/>
        <w:jc w:val="both"/>
        <w:rPr>
          <w:rFonts w:ascii="Arial Unicode MS" w:eastAsia="Times New Roman" w:hAnsi="Arial Unicode MS" w:cs="Arial Unicode MS"/>
          <w:noProof/>
          <w:lang w:eastAsia="cs-CZ"/>
        </w:rPr>
      </w:pPr>
      <w:r w:rsidRPr="00563C93">
        <w:rPr>
          <w:rFonts w:ascii="Arial Unicode MS" w:eastAsia="Times New Roman" w:hAnsi="Arial Unicode MS" w:cs="Arial Unicode MS"/>
          <w:noProof/>
          <w:lang w:eastAsia="cs-CZ"/>
        </w:rPr>
        <w:drawing>
          <wp:inline distT="0" distB="0" distL="0" distR="0">
            <wp:extent cx="5181600" cy="3187065"/>
            <wp:effectExtent l="0" t="0" r="0" b="13335"/>
            <wp:docPr id="3"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63C93" w:rsidRDefault="00563C93" w:rsidP="00563C93">
      <w:pPr>
        <w:autoSpaceDE w:val="0"/>
        <w:autoSpaceDN w:val="0"/>
        <w:adjustRightInd w:val="0"/>
        <w:spacing w:after="0" w:line="240" w:lineRule="auto"/>
        <w:jc w:val="both"/>
        <w:rPr>
          <w:rFonts w:ascii="Arial Unicode MS" w:eastAsia="Times New Roman" w:hAnsi="Arial Unicode MS" w:cs="Arial Unicode MS"/>
          <w:noProof/>
          <w:lang w:eastAsia="cs-CZ"/>
        </w:rPr>
      </w:pPr>
    </w:p>
    <w:p w:rsidR="006C23A0" w:rsidRPr="00563C93" w:rsidRDefault="006C23A0" w:rsidP="006C23A0">
      <w:pPr>
        <w:keepNext/>
        <w:autoSpaceDE w:val="0"/>
        <w:autoSpaceDN w:val="0"/>
        <w:adjustRightInd w:val="0"/>
        <w:spacing w:after="0" w:line="240" w:lineRule="auto"/>
        <w:jc w:val="both"/>
        <w:outlineLvl w:val="0"/>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lastRenderedPageBreak/>
        <w:t xml:space="preserve">Sběrné dvory </w:t>
      </w:r>
    </w:p>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Jedním z výstupů Projektu hospodaření s odpady v hl. m. Praze byl “</w:t>
      </w:r>
      <w:r w:rsidRPr="00563C93">
        <w:rPr>
          <w:rFonts w:ascii="Arial" w:eastAsia="Times New Roman" w:hAnsi="Arial" w:cs="Arial"/>
          <w:b/>
          <w:bCs/>
          <w:sz w:val="20"/>
          <w:lang w:eastAsia="cs-CZ"/>
        </w:rPr>
        <w:t>Tříděný sběr odpadů prostřednictvím sběrných dvorů</w:t>
      </w:r>
      <w:r w:rsidRPr="00563C93">
        <w:rPr>
          <w:rFonts w:ascii="Arial" w:eastAsia="Times New Roman" w:hAnsi="Arial" w:cs="Arial"/>
          <w:sz w:val="20"/>
          <w:lang w:eastAsia="cs-CZ"/>
        </w:rPr>
        <w:t xml:space="preserve">”. Projektem bylo stanoveno, že na území města by mělo být zřízeno a provozováno cca 20 sběrných dvorů (dále “SD”) a tento cíl je od roku 2015 splněn. Ve 20 sběrných dvorech mohou občané, odkládat následující druhy odpadů (objemný odpad, odpad ze zeleně - bioodpad, dřevo, stavební odpad, kovový odpad, elektroodpad, papír, sklo, plasty a dále nebezpečné složky KO) pod kontrolou obsluhy do jednotlivých kontejnerů.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V roce 2015 byla služba rozšířena o možnosti odevzdat obnošený textil, obuv a oděvy (na základě smlouvy s Diakonií Broumov) a od roku 2016 i použitý potravinářský olej a tuk na základě smlouvy se spol. Viking </w:t>
      </w:r>
      <w:proofErr w:type="spellStart"/>
      <w:r w:rsidRPr="00563C93">
        <w:rPr>
          <w:rFonts w:ascii="Arial" w:eastAsia="Times New Roman" w:hAnsi="Arial" w:cs="Arial"/>
          <w:sz w:val="20"/>
          <w:lang w:eastAsia="cs-CZ"/>
        </w:rPr>
        <w:t>group</w:t>
      </w:r>
      <w:proofErr w:type="spellEnd"/>
      <w:r w:rsidRPr="00563C93">
        <w:rPr>
          <w:rFonts w:ascii="Arial" w:eastAsia="Times New Roman" w:hAnsi="Arial" w:cs="Arial"/>
          <w:sz w:val="20"/>
          <w:lang w:eastAsia="cs-CZ"/>
        </w:rPr>
        <w:t xml:space="preserve">, s.r.o..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60"/>
        <w:gridCol w:w="1199"/>
        <w:gridCol w:w="1267"/>
        <w:gridCol w:w="1267"/>
        <w:gridCol w:w="1243"/>
        <w:gridCol w:w="1267"/>
        <w:gridCol w:w="1248"/>
      </w:tblGrid>
      <w:tr w:rsidR="006C23A0" w:rsidRPr="00563C93" w:rsidTr="004E5CEB">
        <w:trPr>
          <w:trHeight w:val="435"/>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2001</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2002</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2003</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2004</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2005</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23 234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34 073</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56 547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84</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286</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107</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239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144 938</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2 602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4 587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5 387</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7 606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10 171</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11 550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1 417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2 212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3 150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6 89</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9 923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13 900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860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1 31</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w:t>
            </w:r>
            <w:r w:rsidRPr="00563C93">
              <w:rPr>
                <w:rFonts w:ascii="Arial" w:eastAsia="Times New Roman" w:hAnsi="Arial" w:cs="Arial"/>
                <w:color w:val="000000"/>
                <w:sz w:val="18"/>
                <w:szCs w:val="20"/>
                <w:lang w:eastAsia="cs-CZ"/>
              </w:rPr>
              <w:t>50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2 347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339</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344</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360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433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113</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175</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24</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543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1078</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552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2 173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3 106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4 642</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 xml:space="preserve">4 </w:t>
            </w:r>
            <w:r w:rsidRPr="00563C93">
              <w:rPr>
                <w:rFonts w:ascii="Arial" w:eastAsia="Times New Roman" w:hAnsi="Arial" w:cs="Arial"/>
                <w:color w:val="000000"/>
                <w:sz w:val="18"/>
                <w:szCs w:val="20"/>
                <w:lang w:eastAsia="cs-CZ"/>
              </w:rPr>
              <w:t>447</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w:t>
            </w:r>
            <w:r w:rsidRPr="00563C93">
              <w:rPr>
                <w:rFonts w:ascii="Arial" w:eastAsia="Times New Roman" w:hAnsi="Arial" w:cs="Arial"/>
                <w:color w:val="000000"/>
                <w:sz w:val="18"/>
                <w:szCs w:val="20"/>
                <w:lang w:eastAsia="cs-CZ"/>
              </w:rPr>
              <w:t>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59</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95</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199"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5 248</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9 350</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12 117</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19 659</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27 1</w:t>
            </w:r>
            <w:r w:rsidRPr="00563C93">
              <w:rPr>
                <w:rFonts w:ascii="Arial" w:eastAsia="Times New Roman" w:hAnsi="Arial" w:cs="Arial"/>
                <w:sz w:val="18"/>
                <w:szCs w:val="20"/>
                <w:lang w:eastAsia="cs-CZ"/>
              </w:rPr>
              <w:t>4</w:t>
            </w:r>
            <w:r w:rsidRPr="00563C93">
              <w:rPr>
                <w:rFonts w:ascii="Arial" w:eastAsia="Times New Roman" w:hAnsi="Arial" w:cs="Arial" w:hint="eastAsia"/>
                <w:sz w:val="18"/>
                <w:szCs w:val="20"/>
                <w:lang w:eastAsia="cs-CZ"/>
              </w:rPr>
              <w:t>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33 895</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doplňkový sběr (zajišťuje svozová společnost obsluhující danou svozovou oblast)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papír</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172</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11</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plasty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w:t>
            </w:r>
            <w:r w:rsidRPr="00563C93">
              <w:rPr>
                <w:rFonts w:ascii="Arial" w:eastAsia="Times New Roman" w:hAnsi="Arial" w:cs="Arial"/>
                <w:color w:val="000000"/>
                <w:sz w:val="18"/>
                <w:szCs w:val="20"/>
                <w:lang w:eastAsia="cs-CZ"/>
              </w:rPr>
              <w:t>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sběr nebezpečného odpadu odevzdaného ve SD</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nebezpečný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677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367</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outlineLvl w:val="5"/>
              <w:rPr>
                <w:rFonts w:ascii="Arial" w:eastAsia="Times New Roman" w:hAnsi="Arial" w:cs="Arial"/>
                <w:caps/>
                <w:sz w:val="18"/>
                <w:szCs w:val="16"/>
                <w:lang w:eastAsia="cs-CZ"/>
              </w:rPr>
            </w:pPr>
            <w:r w:rsidRPr="00563C93">
              <w:rPr>
                <w:rFonts w:ascii="Arial" w:eastAsia="Times New Roman" w:hAnsi="Arial" w:cs="Arial"/>
                <w:sz w:val="18"/>
                <w:szCs w:val="16"/>
                <w:lang w:eastAsia="cs-CZ"/>
              </w:rPr>
              <w:t>Celkem</w:t>
            </w:r>
          </w:p>
        </w:tc>
        <w:tc>
          <w:tcPr>
            <w:tcW w:w="1199"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5 521</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9 772</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12 738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20 483</w:t>
            </w:r>
          </w:p>
        </w:tc>
        <w:tc>
          <w:tcPr>
            <w:tcW w:w="1267" w:type="dxa"/>
            <w:shd w:val="clear" w:color="auto" w:fill="D9D9D9"/>
            <w:tcMar>
              <w:top w:w="15" w:type="dxa"/>
              <w:left w:w="15" w:type="dxa"/>
              <w:bottom w:w="0" w:type="dxa"/>
              <w:right w:w="15" w:type="dxa"/>
            </w:tcMa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28</w:t>
            </w:r>
            <w:r w:rsidRPr="00563C93">
              <w:rPr>
                <w:rFonts w:ascii="Arial" w:eastAsia="Times New Roman" w:hAnsi="Arial" w:cs="Arial"/>
                <w:sz w:val="18"/>
                <w:szCs w:val="20"/>
                <w:lang w:eastAsia="cs-CZ"/>
              </w:rPr>
              <w:t xml:space="preserve"> 242</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34677</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13"/>
        <w:gridCol w:w="1239"/>
        <w:gridCol w:w="1238"/>
        <w:gridCol w:w="1238"/>
        <w:gridCol w:w="1238"/>
        <w:gridCol w:w="1238"/>
        <w:gridCol w:w="1238"/>
      </w:tblGrid>
      <w:tr w:rsidR="006C23A0" w:rsidRPr="00563C93" w:rsidTr="004E5CEB">
        <w:trPr>
          <w:trHeight w:val="442"/>
        </w:trPr>
        <w:tc>
          <w:tcPr>
            <w:tcW w:w="1623"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150 881</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252 307</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295 021</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307 358</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348 938</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r>
      <w:tr w:rsidR="006C23A0" w:rsidRPr="00563C93" w:rsidTr="004E5CEB">
        <w:trPr>
          <w:cantSplit/>
          <w:trHeight w:val="231"/>
        </w:trPr>
        <w:tc>
          <w:tcPr>
            <w:tcW w:w="1247"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11 595</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16 363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17 948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20 504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25 315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27 292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12 259</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17 767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25 107</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26 042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26 144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23 753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2 913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3 792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6 239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7 882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9 723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1 110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835</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1 617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5 464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6 268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7 535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8 085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5 782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130</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334</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243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364</w:t>
            </w:r>
          </w:p>
        </w:tc>
      </w:tr>
      <w:tr w:rsidR="006C23A0" w:rsidRPr="00563C93" w:rsidTr="004E5CEB">
        <w:trPr>
          <w:trHeight w:val="231"/>
        </w:trPr>
        <w:tc>
          <w:tcPr>
            <w:tcW w:w="1623"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34 796</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45 144</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57 134</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62 200</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69 335</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68 402</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5"/>
        <w:gridCol w:w="1242"/>
        <w:gridCol w:w="1247"/>
        <w:gridCol w:w="1247"/>
        <w:gridCol w:w="1247"/>
        <w:gridCol w:w="1247"/>
        <w:gridCol w:w="1247"/>
      </w:tblGrid>
      <w:tr w:rsidR="006C23A0" w:rsidRPr="00563C93" w:rsidTr="004E5CEB">
        <w:trPr>
          <w:trHeight w:val="391"/>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50"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2013</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2014</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2015</w:t>
            </w:r>
          </w:p>
        </w:tc>
        <w:tc>
          <w:tcPr>
            <w:tcW w:w="1255"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2016</w:t>
            </w:r>
          </w:p>
        </w:tc>
        <w:tc>
          <w:tcPr>
            <w:tcW w:w="1255"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55"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50"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250"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335 959</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350 556</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375 218</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6C23A0" w:rsidRPr="00563C93" w:rsidTr="004E5CEB">
        <w:trPr>
          <w:trHeight w:val="204"/>
        </w:trPr>
        <w:tc>
          <w:tcPr>
            <w:tcW w:w="9100"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25730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29 097</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27 398</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28 684</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18 741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22 023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23 665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25 180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9 539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10 431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11 512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12 192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818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763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1154</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1 783</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4520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5 267</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5 503</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7 791</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285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571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319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197</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184</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65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120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131</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0,4</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355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388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408,5 </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 xml:space="preserve">490 </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Oleje a tuky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0,16</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04"/>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50"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60 937</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68 650</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70 638</w:t>
            </w:r>
          </w:p>
        </w:tc>
        <w:tc>
          <w:tcPr>
            <w:tcW w:w="1255"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76 674</w:t>
            </w:r>
          </w:p>
        </w:tc>
        <w:tc>
          <w:tcPr>
            <w:tcW w:w="1255"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p>
        </w:tc>
        <w:tc>
          <w:tcPr>
            <w:tcW w:w="1255"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r w:rsidRPr="00563C93">
        <w:rPr>
          <w:rFonts w:ascii="Arial" w:eastAsia="Times New Roman" w:hAnsi="Arial" w:cs="Arial"/>
          <w:sz w:val="18"/>
          <w:szCs w:val="18"/>
          <w:lang w:eastAsia="cs-CZ"/>
        </w:rPr>
        <w:t>Pozn.: * bude doplněno</w:t>
      </w:r>
    </w:p>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r w:rsidRPr="00563C93">
        <w:rPr>
          <w:rFonts w:ascii="Arial" w:eastAsia="Times New Roman" w:hAnsi="Arial" w:cs="Arial"/>
          <w:sz w:val="18"/>
          <w:szCs w:val="18"/>
          <w:lang w:eastAsia="cs-CZ"/>
        </w:rPr>
        <w:t xml:space="preserve">           ** papír, plasty, sklo a nápojové kartony předávané k využití mimo systém</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 uvedené množství nebezpečných odpadů je pouze za SD</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rámci spolupráce s diakonií Broumov bylo na sběrných dvorech města v roce 2016 vysbíráno celkem 42 tun starého textilu</w:t>
      </w:r>
      <w:r w:rsidRPr="006C23A0">
        <w:rPr>
          <w:rFonts w:ascii="Arial" w:eastAsia="Times New Roman" w:hAnsi="Arial" w:cs="Arial"/>
          <w:sz w:val="20"/>
          <w:lang w:eastAsia="cs-CZ"/>
        </w:rPr>
        <w:t>, který je sbírán mimo režim odpadů.</w:t>
      </w:r>
      <w:r w:rsidRPr="00563C93">
        <w:rPr>
          <w:rFonts w:ascii="Arial Unicode MS" w:eastAsia="Times New Roman" w:hAnsi="Arial Unicode MS" w:cs="Arial Unicode MS"/>
          <w:b/>
          <w:bCs/>
          <w:sz w:val="24"/>
          <w:szCs w:val="24"/>
          <w:lang w:eastAsia="cs-CZ"/>
        </w:rPr>
        <w:t xml:space="preserve"> </w:t>
      </w:r>
      <w:r w:rsidRPr="00563C93">
        <w:rPr>
          <w:rFonts w:ascii="Arial" w:eastAsia="Times New Roman" w:hAnsi="Arial" w:cs="Arial"/>
          <w:sz w:val="20"/>
          <w:lang w:eastAsia="cs-CZ"/>
        </w:rPr>
        <w:t>Veškerý textil se z 98% smysluplně využije k materiální pomoci. Z nevhodného materiálu pro humanitární účely se vytváří čistící plachetky k průmyslovému zpracování a 5% se dává jako alternativní palivo do cementáren. Dále byl zaveden sběr použitých potravinářských olejů a tuků. Samotný sběr začal v listopadu roku 2016. Nová služba získává na popularitě, což dokazuje evidence přijatého množství. V roce 2016 bylo odevzdáno celkem 160 kg olejů a tuků, které jinak převážně končí v kanalizaci.</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b/>
          <w:bCs/>
          <w:sz w:val="24"/>
          <w:lang w:eastAsia="cs-CZ"/>
        </w:rPr>
      </w:pPr>
      <w:r w:rsidRPr="00563C93">
        <w:rPr>
          <w:rFonts w:ascii="Arial" w:eastAsia="Times New Roman" w:hAnsi="Arial" w:cs="Arial"/>
          <w:sz w:val="20"/>
          <w:lang w:eastAsia="cs-CZ"/>
        </w:rPr>
        <w:t>Omezení pro výstavbu sběrných dvorů působí v některých městských částech historická zástavba a dispoziční možnosti (např. Praha 1, Praha 7). V těchto oblastech budou nadále</w:t>
      </w:r>
      <w:r w:rsidRPr="00563C93">
        <w:rPr>
          <w:rFonts w:ascii="Arial" w:eastAsia="Times New Roman" w:hAnsi="Arial" w:cs="Arial"/>
          <w:color w:val="FF0000"/>
          <w:sz w:val="20"/>
          <w:lang w:eastAsia="cs-CZ"/>
        </w:rPr>
        <w:t xml:space="preserve"> </w:t>
      </w:r>
      <w:r w:rsidRPr="00563C93">
        <w:rPr>
          <w:rFonts w:ascii="Arial" w:eastAsia="Times New Roman" w:hAnsi="Arial" w:cs="Arial"/>
          <w:sz w:val="20"/>
          <w:lang w:eastAsia="cs-CZ"/>
        </w:rPr>
        <w:t>jako možná alternativa ke stabilním sběrným dvorům využity tzv. “</w:t>
      </w:r>
      <w:r w:rsidRPr="00563C93">
        <w:rPr>
          <w:rFonts w:ascii="Arial" w:eastAsia="Times New Roman" w:hAnsi="Arial" w:cs="Arial"/>
          <w:b/>
          <w:bCs/>
          <w:sz w:val="20"/>
          <w:lang w:eastAsia="cs-CZ"/>
        </w:rPr>
        <w:t>mobilní sběrné dvory</w:t>
      </w:r>
      <w:r w:rsidRPr="00563C93">
        <w:rPr>
          <w:rFonts w:ascii="Arial" w:eastAsia="Times New Roman" w:hAnsi="Arial" w:cs="Arial"/>
          <w:sz w:val="20"/>
          <w:lang w:eastAsia="cs-CZ"/>
        </w:rPr>
        <w:t xml:space="preserve">” – </w:t>
      </w:r>
      <w:proofErr w:type="gramStart"/>
      <w:r w:rsidRPr="00563C93">
        <w:rPr>
          <w:rFonts w:ascii="Arial" w:eastAsia="Times New Roman" w:hAnsi="Arial" w:cs="Arial"/>
          <w:sz w:val="20"/>
          <w:lang w:eastAsia="cs-CZ"/>
        </w:rPr>
        <w:t>tzn. bude</w:t>
      </w:r>
      <w:proofErr w:type="gramEnd"/>
      <w:r w:rsidRPr="00563C93">
        <w:rPr>
          <w:rFonts w:ascii="Arial" w:eastAsia="Times New Roman" w:hAnsi="Arial" w:cs="Arial"/>
          <w:sz w:val="20"/>
          <w:lang w:eastAsia="cs-CZ"/>
        </w:rPr>
        <w:t xml:space="preserve"> přistaveno několik velkoobjemových kontejnerů s odborným zajištěním třídění odpadů (na krátký časový úsek - po dobu 1 dne s pravidelným intervalem opakování).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04"/>
        <w:gridCol w:w="1902"/>
        <w:gridCol w:w="1902"/>
        <w:gridCol w:w="1902"/>
        <w:gridCol w:w="1902"/>
      </w:tblGrid>
      <w:tr w:rsidR="006C23A0" w:rsidRPr="00563C93" w:rsidTr="004E5CEB">
        <w:tc>
          <w:tcPr>
            <w:tcW w:w="1604"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2002</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5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2003</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13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2004</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2005</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r>
      <w:tr w:rsidR="006C23A0" w:rsidRPr="00563C93" w:rsidTr="004E5CEB">
        <w:trPr>
          <w:trHeight w:val="227"/>
        </w:trPr>
        <w:tc>
          <w:tcPr>
            <w:tcW w:w="1604" w:type="dxa"/>
            <w:tcBorders>
              <w:top w:val="single" w:sz="6" w:space="0" w:color="auto"/>
            </w:tcBorders>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počet návštěv</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198</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523</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572</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423</w:t>
            </w:r>
          </w:p>
        </w:tc>
      </w:tr>
      <w:tr w:rsidR="006C23A0" w:rsidRPr="00563C93" w:rsidTr="004E5CEB">
        <w:trPr>
          <w:trHeight w:val="227"/>
        </w:trPr>
        <w:tc>
          <w:tcPr>
            <w:tcW w:w="1604" w:type="dxa"/>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8"/>
                <w:lang w:eastAsia="cs-CZ"/>
              </w:rPr>
            </w:pPr>
            <w:r w:rsidRPr="00563C93">
              <w:rPr>
                <w:rFonts w:ascii="Arial" w:eastAsia="Times New Roman" w:hAnsi="Arial" w:cs="Arial"/>
                <w:b/>
                <w:bCs/>
                <w:sz w:val="18"/>
                <w:szCs w:val="18"/>
                <w:lang w:eastAsia="cs-CZ"/>
              </w:rPr>
              <w:t>odpad celkem</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30,4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73,3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75,3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28,4 t</w:t>
            </w:r>
          </w:p>
        </w:tc>
      </w:tr>
    </w:tbl>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Od </w:t>
      </w:r>
      <w:proofErr w:type="gramStart"/>
      <w:r w:rsidRPr="00563C93">
        <w:rPr>
          <w:rFonts w:ascii="Arial" w:eastAsia="Times New Roman" w:hAnsi="Arial" w:cs="Arial"/>
          <w:sz w:val="20"/>
          <w:lang w:eastAsia="cs-CZ"/>
        </w:rPr>
        <w:t>1.7.2012</w:t>
      </w:r>
      <w:proofErr w:type="gramEnd"/>
      <w:r w:rsidRPr="00563C93">
        <w:rPr>
          <w:rFonts w:ascii="Arial" w:eastAsia="Times New Roman" w:hAnsi="Arial" w:cs="Arial"/>
          <w:sz w:val="20"/>
          <w:lang w:eastAsia="cs-CZ"/>
        </w:rPr>
        <w:t xml:space="preserve"> byl zahájen provoz mobilních sběrných dvorů. Tato služba je určena převážně pro MČ, které na svém území či v jeho blízkosti nemají zřízen stabilní sběrný dvůr. Mobilní sběrné dvory (dále jen „MSD“) jsou realizovány na větších, vhodných plochách (např. parkoviště), kde je možné umístit více VOK pro různé (určené) druhy odpadů. MSD se realizují po dobu 6 hodin (ve všední dny v odpoledních hodinách, o víkendech v dopoledních i odpoledních hodinách) na místech zvolených ÚMČ ve spolupráci se svozovou společností a schválených Magistrátem hl. m. Prahy. V rámci MSD jsou přistavovány VOK určené pro tyto druhy odpadů: objemný odpad, dřevěný odpad, bioodpad a od roku 2015 místo kovů nově stavební odpady v omezeném množství (zdarma do 1 m</w:t>
      </w:r>
      <w:r w:rsidRPr="00563C93">
        <w:rPr>
          <w:rFonts w:ascii="Arial" w:eastAsia="Times New Roman" w:hAnsi="Arial" w:cs="Arial"/>
          <w:sz w:val="20"/>
          <w:vertAlign w:val="superscript"/>
          <w:lang w:eastAsia="cs-CZ"/>
        </w:rPr>
        <w:t>3</w:t>
      </w:r>
      <w:r w:rsidRPr="00563C93">
        <w:rPr>
          <w:rFonts w:ascii="Arial" w:eastAsia="Times New Roman" w:hAnsi="Arial" w:cs="Arial"/>
          <w:sz w:val="20"/>
          <w:lang w:eastAsia="cs-CZ"/>
        </w:rPr>
        <w:t>).</w:t>
      </w:r>
    </w:p>
    <w:p w:rsidR="006C23A0" w:rsidRDefault="006C23A0" w:rsidP="006C23A0">
      <w:pPr>
        <w:autoSpaceDE w:val="0"/>
        <w:autoSpaceDN w:val="0"/>
        <w:adjustRightInd w:val="0"/>
        <w:spacing w:after="0" w:line="240" w:lineRule="auto"/>
        <w:rPr>
          <w:rFonts w:ascii="Arial" w:eastAsia="Times New Roman" w:hAnsi="Arial" w:cs="Arial"/>
          <w:caps/>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Produkce odpadu ukládaných v rámci MSD</w:t>
      </w:r>
    </w:p>
    <w:tbl>
      <w:tblPr>
        <w:tblW w:w="7654"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65"/>
        <w:gridCol w:w="1275"/>
        <w:gridCol w:w="1276"/>
        <w:gridCol w:w="1276"/>
        <w:gridCol w:w="1131"/>
        <w:gridCol w:w="1131"/>
      </w:tblGrid>
      <w:tr w:rsidR="006C23A0" w:rsidRPr="00563C93" w:rsidTr="004E5CEB">
        <w:trPr>
          <w:trHeight w:val="878"/>
        </w:trPr>
        <w:tc>
          <w:tcPr>
            <w:tcW w:w="1565" w:type="dxa"/>
            <w:shd w:val="clear" w:color="000000" w:fill="D9D9D9"/>
            <w:vAlign w:val="center"/>
            <w:hideMark/>
          </w:tcPr>
          <w:p w:rsidR="006C23A0" w:rsidRPr="00563C93" w:rsidRDefault="006C23A0"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MSD</w:t>
            </w:r>
          </w:p>
        </w:tc>
        <w:tc>
          <w:tcPr>
            <w:tcW w:w="1275" w:type="dxa"/>
            <w:shd w:val="clear" w:color="000000" w:fill="D9D9D9"/>
            <w:vAlign w:val="center"/>
            <w:hideMark/>
          </w:tcPr>
          <w:p w:rsidR="006C23A0" w:rsidRPr="00563C93" w:rsidRDefault="006C23A0"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2012 (provozován 52 x)</w:t>
            </w:r>
          </w:p>
        </w:tc>
        <w:tc>
          <w:tcPr>
            <w:tcW w:w="1276" w:type="dxa"/>
            <w:shd w:val="clear" w:color="000000" w:fill="D9D9D9"/>
            <w:vAlign w:val="center"/>
            <w:hideMark/>
          </w:tcPr>
          <w:p w:rsidR="006C23A0" w:rsidRPr="00563C93" w:rsidRDefault="006C23A0"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2013 (provozován 91 x)</w:t>
            </w:r>
          </w:p>
        </w:tc>
        <w:tc>
          <w:tcPr>
            <w:tcW w:w="1276" w:type="dxa"/>
            <w:shd w:val="clear" w:color="000000" w:fill="D9D9D9"/>
            <w:vAlign w:val="center"/>
            <w:hideMark/>
          </w:tcPr>
          <w:p w:rsidR="006C23A0" w:rsidRPr="00563C93" w:rsidRDefault="006C23A0"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2014 (provozován 89 x)</w:t>
            </w:r>
          </w:p>
        </w:tc>
        <w:tc>
          <w:tcPr>
            <w:tcW w:w="1131" w:type="dxa"/>
            <w:shd w:val="clear" w:color="000000" w:fill="D9D9D9"/>
            <w:vAlign w:val="center"/>
          </w:tcPr>
          <w:p w:rsidR="006C23A0" w:rsidRPr="00563C93" w:rsidRDefault="006C23A0"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 (provozován 95 x)</w:t>
            </w:r>
          </w:p>
        </w:tc>
        <w:tc>
          <w:tcPr>
            <w:tcW w:w="1131" w:type="dxa"/>
            <w:shd w:val="clear" w:color="000000" w:fill="D9D9D9"/>
            <w:vAlign w:val="center"/>
          </w:tcPr>
          <w:p w:rsidR="006C23A0" w:rsidRPr="00563C93" w:rsidRDefault="006C23A0"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 (provozován 95 x)</w:t>
            </w:r>
          </w:p>
        </w:tc>
      </w:tr>
      <w:tr w:rsidR="006C23A0" w:rsidRPr="00563C93" w:rsidTr="004E5CEB">
        <w:trPr>
          <w:trHeight w:val="227"/>
        </w:trPr>
        <w:tc>
          <w:tcPr>
            <w:tcW w:w="156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objem</w:t>
            </w:r>
          </w:p>
        </w:tc>
        <w:tc>
          <w:tcPr>
            <w:tcW w:w="127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25,95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836,67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60,28 t</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59,41</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55,17</w:t>
            </w:r>
          </w:p>
        </w:tc>
      </w:tr>
      <w:tr w:rsidR="006C23A0" w:rsidRPr="00563C93" w:rsidTr="004E5CEB">
        <w:trPr>
          <w:trHeight w:val="227"/>
        </w:trPr>
        <w:tc>
          <w:tcPr>
            <w:tcW w:w="156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lastRenderedPageBreak/>
              <w:t>dřevo</w:t>
            </w:r>
          </w:p>
        </w:tc>
        <w:tc>
          <w:tcPr>
            <w:tcW w:w="127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14,53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288,05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28,05 t</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33,07</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29,39</w:t>
            </w:r>
          </w:p>
        </w:tc>
      </w:tr>
      <w:tr w:rsidR="006C23A0" w:rsidRPr="00563C93" w:rsidTr="004E5CEB">
        <w:trPr>
          <w:trHeight w:val="227"/>
        </w:trPr>
        <w:tc>
          <w:tcPr>
            <w:tcW w:w="156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bio</w:t>
            </w:r>
          </w:p>
        </w:tc>
        <w:tc>
          <w:tcPr>
            <w:tcW w:w="127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29,15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15,59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56,22 t</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85,54</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57,38</w:t>
            </w:r>
          </w:p>
        </w:tc>
      </w:tr>
      <w:tr w:rsidR="006C23A0" w:rsidRPr="00563C93" w:rsidTr="004E5CEB">
        <w:trPr>
          <w:trHeight w:val="227"/>
        </w:trPr>
        <w:tc>
          <w:tcPr>
            <w:tcW w:w="156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kovy</w:t>
            </w:r>
          </w:p>
        </w:tc>
        <w:tc>
          <w:tcPr>
            <w:tcW w:w="1275"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1,47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17,65 t</w:t>
            </w:r>
          </w:p>
        </w:tc>
        <w:tc>
          <w:tcPr>
            <w:tcW w:w="1276" w:type="dxa"/>
            <w:shd w:val="clear" w:color="auto" w:fill="auto"/>
            <w:noWrap/>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3,33 t</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3,89*</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p>
        </w:tc>
      </w:tr>
      <w:tr w:rsidR="006C23A0" w:rsidRPr="00563C93" w:rsidTr="004E5CEB">
        <w:trPr>
          <w:trHeight w:val="227"/>
        </w:trPr>
        <w:tc>
          <w:tcPr>
            <w:tcW w:w="1565" w:type="dxa"/>
            <w:shd w:val="clear" w:color="auto" w:fill="auto"/>
            <w:noWrap/>
            <w:vAlign w:val="center"/>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Stavební suť</w:t>
            </w:r>
          </w:p>
        </w:tc>
        <w:tc>
          <w:tcPr>
            <w:tcW w:w="1275" w:type="dxa"/>
            <w:shd w:val="clear" w:color="auto" w:fill="auto"/>
            <w:noWrap/>
            <w:vAlign w:val="center"/>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276" w:type="dxa"/>
            <w:shd w:val="clear" w:color="auto" w:fill="auto"/>
            <w:noWrap/>
            <w:vAlign w:val="center"/>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276" w:type="dxa"/>
            <w:shd w:val="clear" w:color="auto" w:fill="auto"/>
            <w:noWrap/>
            <w:vAlign w:val="center"/>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44,18</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78,05</w:t>
            </w:r>
          </w:p>
        </w:tc>
      </w:tr>
      <w:tr w:rsidR="006C23A0" w:rsidRPr="00563C93" w:rsidTr="004E5CEB">
        <w:trPr>
          <w:trHeight w:val="227"/>
        </w:trPr>
        <w:tc>
          <w:tcPr>
            <w:tcW w:w="1565" w:type="dxa"/>
            <w:shd w:val="clear" w:color="auto" w:fill="auto"/>
            <w:vAlign w:val="center"/>
            <w:hideMark/>
          </w:tcPr>
          <w:p w:rsidR="006C23A0" w:rsidRPr="00563C93" w:rsidRDefault="006C23A0" w:rsidP="004E5CEB">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odpad celkem</w:t>
            </w:r>
          </w:p>
        </w:tc>
        <w:tc>
          <w:tcPr>
            <w:tcW w:w="1275" w:type="dxa"/>
            <w:shd w:val="clear" w:color="auto" w:fill="auto"/>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71,1 t</w:t>
            </w:r>
          </w:p>
        </w:tc>
        <w:tc>
          <w:tcPr>
            <w:tcW w:w="1276" w:type="dxa"/>
            <w:shd w:val="clear" w:color="auto" w:fill="auto"/>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1157,96 t</w:t>
            </w:r>
          </w:p>
        </w:tc>
        <w:tc>
          <w:tcPr>
            <w:tcW w:w="1276" w:type="dxa"/>
            <w:shd w:val="clear" w:color="auto" w:fill="auto"/>
            <w:vAlign w:val="center"/>
            <w:hideMark/>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147,88 t</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226,09</w:t>
            </w:r>
          </w:p>
        </w:tc>
        <w:tc>
          <w:tcPr>
            <w:tcW w:w="1131" w:type="dxa"/>
          </w:tcPr>
          <w:p w:rsidR="006C23A0" w:rsidRPr="00563C93" w:rsidRDefault="006C23A0" w:rsidP="004E5CEB">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219,99</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b/>
          <w:bCs/>
          <w:sz w:val="20"/>
          <w:highlight w:val="yellow"/>
          <w:u w:val="single"/>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Mimo stabilních a mobilních sběrných dvorů hl. m. Prahy (uvedených v tabulkách) jsou ještě ÚMČ zajišťovány sběrné dvory, které jsou určeny přímo občanům dané MČ. Jedná se o sběrný dvůr MČ Prahy 4 (ul. Durychova), dále o sběrný dvůr MČ Prahy 5 (ul. Klikatá) a o sběrný dvůr MČ Prahy 6 (ul. Jednořadá). Pro občany MČ Prahy 2 a Prahy 6 jsou navíc ještě organizovány ÚMČ mobilní sběrné dvory.</w:t>
      </w:r>
    </w:p>
    <w:p w:rsidR="006C23A0" w:rsidRDefault="006C23A0"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 xml:space="preserve">Objemný odpad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Objemný odpad mohou občané odkládat do velkoobjemových kontejnerů (VOK) o minimálním objemu 10 m</w:t>
      </w:r>
      <w:r w:rsidRPr="00563C93">
        <w:rPr>
          <w:rFonts w:ascii="Arial" w:eastAsia="Times New Roman" w:hAnsi="Arial" w:cs="Arial"/>
          <w:sz w:val="20"/>
          <w:vertAlign w:val="superscript"/>
          <w:lang w:eastAsia="cs-CZ"/>
        </w:rPr>
        <w:t>3</w:t>
      </w:r>
      <w:r w:rsidRPr="00563C93">
        <w:rPr>
          <w:rFonts w:ascii="Arial" w:eastAsia="Times New Roman" w:hAnsi="Arial" w:cs="Arial"/>
          <w:sz w:val="20"/>
          <w:lang w:eastAsia="cs-CZ"/>
        </w:rPr>
        <w:t xml:space="preserve">. Hl. m. Praha hradila v minulých letech přistavení cca </w:t>
      </w:r>
      <w:r w:rsidRPr="00563C93">
        <w:rPr>
          <w:rFonts w:ascii="Arial" w:eastAsia="Times New Roman" w:hAnsi="Arial" w:cs="Arial"/>
          <w:bCs/>
          <w:sz w:val="20"/>
          <w:lang w:eastAsia="cs-CZ"/>
        </w:rPr>
        <w:t>9 000 VOK ročně. S přibývajícím počtem sběrných dvorů snižuje hl. m. Praha počet VOK,</w:t>
      </w:r>
      <w:r w:rsidRPr="00563C93">
        <w:rPr>
          <w:rFonts w:ascii="Arial" w:eastAsia="Times New Roman" w:hAnsi="Arial" w:cs="Arial"/>
          <w:sz w:val="20"/>
          <w:lang w:eastAsia="cs-CZ"/>
        </w:rPr>
        <w:t xml:space="preserve"> v roce 2016 bylo přistaveno 5 368 kontejnerů. VOK jsou přidělovány městským částem podle počtu obyvatel s tím, že každá městská část má k dispozici minimálně 10 VOK jako prevenci vzniku černých skládek. Městské části samy rozhodují o místech a termínech přistavení VOK dle vlastní potřeby. Některé městské části na své náklady přistavují dle svého uvážení další VOK. Další způsoby pro sběr objemného odpadu jsou zajišťovány prostřednictvím stabilních sběrných dvorů města a mobilních sběrných dvorů v ulicích. S účinností nové smlouvy (od </w:t>
      </w:r>
      <w:proofErr w:type="gramStart"/>
      <w:r w:rsidRPr="00563C93">
        <w:rPr>
          <w:rFonts w:ascii="Arial" w:eastAsia="Times New Roman" w:hAnsi="Arial" w:cs="Arial"/>
          <w:sz w:val="20"/>
          <w:lang w:eastAsia="cs-CZ"/>
        </w:rPr>
        <w:t>23.7.2015</w:t>
      </w:r>
      <w:proofErr w:type="gramEnd"/>
      <w:r w:rsidRPr="00563C93">
        <w:rPr>
          <w:rFonts w:ascii="Arial" w:eastAsia="Times New Roman" w:hAnsi="Arial" w:cs="Arial"/>
          <w:sz w:val="20"/>
          <w:lang w:eastAsia="cs-CZ"/>
        </w:rPr>
        <w:t>, smlouva č. INO/54//11/009063/2015) byla drtivá většina objemného odpadu z VOK a MSD materiálově využívána.</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Hl. m. Praha mimo uvedené způsoby nakládání s objemným odpadem, ještě zajišťuje tzv. </w:t>
      </w:r>
      <w:proofErr w:type="spellStart"/>
      <w:r w:rsidRPr="00563C93">
        <w:rPr>
          <w:rFonts w:ascii="Arial" w:eastAsia="Times New Roman" w:hAnsi="Arial" w:cs="Arial"/>
          <w:sz w:val="20"/>
          <w:lang w:eastAsia="cs-CZ"/>
        </w:rPr>
        <w:t>doúklid</w:t>
      </w:r>
      <w:proofErr w:type="spellEnd"/>
      <w:r w:rsidRPr="00563C93">
        <w:rPr>
          <w:rFonts w:ascii="Arial" w:eastAsia="Times New Roman" w:hAnsi="Arial" w:cs="Arial"/>
          <w:sz w:val="20"/>
          <w:lang w:eastAsia="cs-CZ"/>
        </w:rPr>
        <w:t xml:space="preserve"> okolo sběrných nádob na sběr separovaných složek odpadu. Z tohoto úklidu bylo v roce 2016 nashromážděno dalších 6 492 t objemného odpadu. Mimo to není v tabulce uveden objemný odpad sbíraný v rámci ÚMČ a TSK, který v roce 2016 činil 2 119,5t a 220,98 t</w:t>
      </w: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Produkce objemného odpadu (v tunách):</w:t>
      </w:r>
    </w:p>
    <w:tbl>
      <w:tblPr>
        <w:tblW w:w="5231" w:type="dxa"/>
        <w:tblInd w:w="55" w:type="dxa"/>
        <w:tblCellMar>
          <w:left w:w="70" w:type="dxa"/>
          <w:right w:w="70" w:type="dxa"/>
        </w:tblCellMar>
        <w:tblLook w:val="04A0" w:firstRow="1" w:lastRow="0" w:firstColumn="1" w:lastColumn="0" w:noHBand="0" w:noVBand="1"/>
      </w:tblPr>
      <w:tblGrid>
        <w:gridCol w:w="1043"/>
        <w:gridCol w:w="1042"/>
        <w:gridCol w:w="1042"/>
        <w:gridCol w:w="1042"/>
        <w:gridCol w:w="1062"/>
      </w:tblGrid>
      <w:tr w:rsidR="00563C93" w:rsidRPr="00563C93" w:rsidTr="00563C93">
        <w:trPr>
          <w:trHeight w:val="384"/>
        </w:trPr>
        <w:tc>
          <w:tcPr>
            <w:tcW w:w="1043"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VOK v ulicích</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SD města</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MSD</w:t>
            </w:r>
          </w:p>
        </w:tc>
        <w:tc>
          <w:tcPr>
            <w:tcW w:w="106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13 128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13 257</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16 095</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673</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16 768</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16 150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916</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17 066</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16 282</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1 417</w:t>
            </w:r>
          </w:p>
        </w:tc>
        <w:tc>
          <w:tcPr>
            <w:tcW w:w="1042"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17 699</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16 525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18 737</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16 902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3 149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17 601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6 891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24 492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20 527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9 923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30 450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17 991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13 900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31 891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19 892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12 259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32 151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17 769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37 771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20 193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25 107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45 300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18 500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26 042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44 542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18 355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44 480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11 273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23 753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35 026</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6899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18 741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837</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26 477</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6 387</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22 023</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w:t>
            </w:r>
          </w:p>
        </w:tc>
        <w:tc>
          <w:tcPr>
            <w:tcW w:w="106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right"/>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28 740</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right"/>
              <w:rPr>
                <w:rFonts w:ascii="Arial" w:eastAsia="Times New Roman" w:hAnsi="Arial" w:cs="Arial"/>
                <w:sz w:val="18"/>
                <w:szCs w:val="18"/>
                <w:lang w:eastAsia="cs-CZ"/>
              </w:rPr>
            </w:pPr>
            <w:r w:rsidRPr="00563C93">
              <w:rPr>
                <w:rFonts w:ascii="Arial" w:eastAsia="Times New Roman" w:hAnsi="Arial" w:cs="Arial"/>
                <w:sz w:val="18"/>
                <w:szCs w:val="18"/>
                <w:lang w:eastAsia="cs-CZ"/>
              </w:rPr>
              <w:t>5 122</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right"/>
              <w:rPr>
                <w:rFonts w:ascii="Arial" w:eastAsia="Times New Roman" w:hAnsi="Arial" w:cs="Arial"/>
                <w:sz w:val="18"/>
                <w:szCs w:val="18"/>
                <w:lang w:eastAsia="cs-CZ"/>
              </w:rPr>
            </w:pPr>
            <w:r w:rsidRPr="00563C93">
              <w:rPr>
                <w:rFonts w:ascii="Arial" w:eastAsia="Times New Roman" w:hAnsi="Arial" w:cs="Arial"/>
                <w:sz w:val="18"/>
                <w:szCs w:val="18"/>
                <w:lang w:eastAsia="cs-CZ"/>
              </w:rPr>
              <w:t>24 039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59</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right"/>
              <w:rPr>
                <w:rFonts w:ascii="Arial" w:eastAsia="Times New Roman" w:hAnsi="Arial" w:cs="Arial"/>
                <w:sz w:val="18"/>
                <w:szCs w:val="18"/>
                <w:lang w:eastAsia="cs-CZ"/>
              </w:rPr>
            </w:pPr>
            <w:r w:rsidRPr="00563C93">
              <w:rPr>
                <w:rFonts w:ascii="Arial" w:eastAsia="Times New Roman" w:hAnsi="Arial" w:cs="Arial"/>
                <w:sz w:val="18"/>
                <w:szCs w:val="18"/>
                <w:lang w:eastAsia="cs-CZ"/>
              </w:rPr>
              <w:t>29 220</w:t>
            </w:r>
          </w:p>
        </w:tc>
      </w:tr>
      <w:tr w:rsidR="00563C93" w:rsidRPr="00563C93" w:rsidTr="00563C93">
        <w:trPr>
          <w:trHeight w:val="238"/>
        </w:trPr>
        <w:tc>
          <w:tcPr>
            <w:tcW w:w="1043" w:type="dxa"/>
            <w:tcBorders>
              <w:top w:val="single" w:sz="8" w:space="0" w:color="auto"/>
              <w:left w:val="single" w:sz="12" w:space="0" w:color="auto"/>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w:t>
            </w:r>
          </w:p>
        </w:tc>
        <w:tc>
          <w:tcPr>
            <w:tcW w:w="1042"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right"/>
              <w:rPr>
                <w:rFonts w:ascii="Arial" w:eastAsia="Times New Roman" w:hAnsi="Arial" w:cs="Arial"/>
                <w:sz w:val="18"/>
                <w:szCs w:val="18"/>
                <w:lang w:eastAsia="cs-CZ"/>
              </w:rPr>
            </w:pPr>
            <w:r w:rsidRPr="00563C93">
              <w:rPr>
                <w:rFonts w:ascii="Arial" w:eastAsia="Times New Roman" w:hAnsi="Arial" w:cs="Arial"/>
                <w:sz w:val="18"/>
                <w:szCs w:val="18"/>
                <w:lang w:eastAsia="cs-CZ"/>
              </w:rPr>
              <w:t>4 258</w:t>
            </w:r>
          </w:p>
        </w:tc>
        <w:tc>
          <w:tcPr>
            <w:tcW w:w="1042"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right"/>
              <w:rPr>
                <w:rFonts w:ascii="Arial" w:eastAsia="Times New Roman" w:hAnsi="Arial" w:cs="Arial"/>
                <w:sz w:val="18"/>
                <w:szCs w:val="18"/>
                <w:lang w:eastAsia="cs-CZ"/>
              </w:rPr>
            </w:pPr>
            <w:r w:rsidRPr="00563C93">
              <w:rPr>
                <w:rFonts w:ascii="Arial" w:eastAsia="Times New Roman" w:hAnsi="Arial" w:cs="Arial"/>
                <w:sz w:val="18"/>
                <w:szCs w:val="18"/>
                <w:lang w:eastAsia="cs-CZ"/>
              </w:rPr>
              <w:t>25 019</w:t>
            </w:r>
          </w:p>
        </w:tc>
        <w:tc>
          <w:tcPr>
            <w:tcW w:w="1042" w:type="dxa"/>
            <w:tcBorders>
              <w:top w:val="single" w:sz="8" w:space="0" w:color="auto"/>
              <w:left w:val="nil"/>
              <w:bottom w:val="single" w:sz="12"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55</w:t>
            </w:r>
          </w:p>
        </w:tc>
        <w:tc>
          <w:tcPr>
            <w:tcW w:w="1062" w:type="dxa"/>
            <w:tcBorders>
              <w:top w:val="single" w:sz="8" w:space="0" w:color="auto"/>
              <w:left w:val="nil"/>
              <w:bottom w:val="single" w:sz="12" w:space="0" w:color="auto"/>
              <w:right w:val="single" w:sz="12" w:space="0" w:color="auto"/>
            </w:tcBorders>
            <w:shd w:val="clear" w:color="auto" w:fill="auto"/>
            <w:vAlign w:val="center"/>
          </w:tcPr>
          <w:p w:rsidR="00563C93" w:rsidRPr="00563C93" w:rsidRDefault="00563C93" w:rsidP="00563C93">
            <w:pPr>
              <w:spacing w:after="0" w:line="240" w:lineRule="auto"/>
              <w:jc w:val="right"/>
              <w:rPr>
                <w:rFonts w:ascii="Arial" w:eastAsia="Times New Roman" w:hAnsi="Arial" w:cs="Arial"/>
                <w:sz w:val="18"/>
                <w:szCs w:val="18"/>
                <w:lang w:eastAsia="cs-CZ"/>
              </w:rPr>
            </w:pPr>
            <w:r w:rsidRPr="00563C93">
              <w:rPr>
                <w:rFonts w:ascii="Arial" w:eastAsia="Times New Roman" w:hAnsi="Arial" w:cs="Arial"/>
                <w:sz w:val="18"/>
                <w:szCs w:val="18"/>
                <w:lang w:eastAsia="cs-CZ"/>
              </w:rPr>
              <w:t>29 658</w:t>
            </w:r>
          </w:p>
        </w:tc>
      </w:tr>
    </w:tbl>
    <w:p w:rsid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BIOODPAD</w:t>
      </w: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xml:space="preserve">Snížení počtu přistavovaných kontejnerů na objemný odpad umožnilo oddělený svoz bioodpadu s využitím označených VOK. Pro sběr bioodpadu bylo v roce 2016 celkem přistaveno více než dvojnásobné množství kontejnerů než v předchozím roce 2015, tj. celkem 1486 ks a podařilo se získat </w:t>
      </w:r>
      <w:r w:rsidRPr="00563C93">
        <w:rPr>
          <w:rFonts w:ascii="Arial" w:eastAsia="Times New Roman" w:hAnsi="Arial" w:cs="Arial"/>
          <w:bCs/>
          <w:sz w:val="20"/>
          <w:lang w:eastAsia="cs-CZ"/>
        </w:rPr>
        <w:lastRenderedPageBreak/>
        <w:t>celkem 1008,14 tun bioodpadu. Další způsoby pro odkládání bioodpadu jsou sběrné dvory města, dále stabilní sběrné místo v Praze 10 Malešicích a mobilní sběrné dvory.</w:t>
      </w: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Produkce bioodpadu (v tunách):</w:t>
      </w:r>
    </w:p>
    <w:tbl>
      <w:tblPr>
        <w:tblW w:w="6228"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8"/>
        <w:gridCol w:w="1171"/>
        <w:gridCol w:w="845"/>
        <w:gridCol w:w="1338"/>
        <w:gridCol w:w="958"/>
        <w:gridCol w:w="958"/>
      </w:tblGrid>
      <w:tr w:rsidR="00563C93" w:rsidRPr="00563C93" w:rsidTr="00563C93">
        <w:trPr>
          <w:trHeight w:val="348"/>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rok</w:t>
            </w:r>
          </w:p>
        </w:tc>
        <w:tc>
          <w:tcPr>
            <w:tcW w:w="1171"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Bio VOK v ulicích</w:t>
            </w:r>
          </w:p>
        </w:tc>
        <w:tc>
          <w:tcPr>
            <w:tcW w:w="845"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SD města</w:t>
            </w:r>
          </w:p>
        </w:tc>
        <w:tc>
          <w:tcPr>
            <w:tcW w:w="133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Stabilní místo – Malešice</w:t>
            </w:r>
          </w:p>
        </w:tc>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MSD</w:t>
            </w:r>
          </w:p>
        </w:tc>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Celkem</w:t>
            </w:r>
          </w:p>
        </w:tc>
      </w:tr>
      <w:tr w:rsidR="00563C93" w:rsidRPr="00563C93" w:rsidTr="00563C93">
        <w:trPr>
          <w:trHeight w:val="229"/>
        </w:trPr>
        <w:tc>
          <w:tcPr>
            <w:tcW w:w="958" w:type="dxa"/>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2001</w:t>
            </w:r>
          </w:p>
        </w:tc>
        <w:tc>
          <w:tcPr>
            <w:tcW w:w="1171"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w:t>
            </w:r>
          </w:p>
        </w:tc>
        <w:tc>
          <w:tcPr>
            <w:tcW w:w="133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552 </w:t>
            </w:r>
          </w:p>
        </w:tc>
      </w:tr>
      <w:tr w:rsidR="00563C93" w:rsidRPr="00563C93" w:rsidTr="00563C93">
        <w:trPr>
          <w:trHeight w:val="229"/>
        </w:trPr>
        <w:tc>
          <w:tcPr>
            <w:tcW w:w="958" w:type="dxa"/>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2002</w:t>
            </w:r>
          </w:p>
        </w:tc>
        <w:tc>
          <w:tcPr>
            <w:tcW w:w="1171"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1665</w:t>
            </w:r>
          </w:p>
        </w:tc>
        <w:tc>
          <w:tcPr>
            <w:tcW w:w="133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 xml:space="preserve">    1665</w:t>
            </w:r>
          </w:p>
        </w:tc>
      </w:tr>
      <w:tr w:rsidR="00563C93" w:rsidRPr="00563C93" w:rsidTr="00563C93">
        <w:trPr>
          <w:trHeight w:val="229"/>
        </w:trPr>
        <w:tc>
          <w:tcPr>
            <w:tcW w:w="958" w:type="dxa"/>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2003</w:t>
            </w:r>
          </w:p>
        </w:tc>
        <w:tc>
          <w:tcPr>
            <w:tcW w:w="1171"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2173</w:t>
            </w:r>
          </w:p>
        </w:tc>
        <w:tc>
          <w:tcPr>
            <w:tcW w:w="133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2173 </w:t>
            </w:r>
          </w:p>
        </w:tc>
      </w:tr>
      <w:tr w:rsidR="00563C93" w:rsidRPr="00563C93" w:rsidTr="00563C93">
        <w:trPr>
          <w:trHeight w:val="229"/>
        </w:trPr>
        <w:tc>
          <w:tcPr>
            <w:tcW w:w="958" w:type="dxa"/>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2004</w:t>
            </w:r>
          </w:p>
        </w:tc>
        <w:tc>
          <w:tcPr>
            <w:tcW w:w="1171"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3106</w:t>
            </w:r>
          </w:p>
        </w:tc>
        <w:tc>
          <w:tcPr>
            <w:tcW w:w="133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3106</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2005</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4642</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166</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4808</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2006</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4447</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300</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4747</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2007</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5464</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254</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5718</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2008</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5964</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306</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6270</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2009</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6268</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501</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6769</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2010</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 xml:space="preserve"> 331*</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7535</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527</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8393</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2011</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660</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8085</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669</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9414</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2012</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830</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5782</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626</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29</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7267</w:t>
            </w:r>
          </w:p>
        </w:tc>
      </w:tr>
      <w:tr w:rsidR="00563C93" w:rsidRPr="00563C93" w:rsidTr="00563C93">
        <w:trPr>
          <w:trHeight w:val="229"/>
        </w:trPr>
        <w:tc>
          <w:tcPr>
            <w:tcW w:w="958" w:type="dxa"/>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2013</w:t>
            </w:r>
          </w:p>
        </w:tc>
        <w:tc>
          <w:tcPr>
            <w:tcW w:w="117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949</w:t>
            </w:r>
          </w:p>
        </w:tc>
        <w:tc>
          <w:tcPr>
            <w:tcW w:w="84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4520</w:t>
            </w:r>
          </w:p>
        </w:tc>
        <w:tc>
          <w:tcPr>
            <w:tcW w:w="133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779</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w:t>
            </w:r>
          </w:p>
        </w:tc>
        <w:tc>
          <w:tcPr>
            <w:tcW w:w="958"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6264</w:t>
            </w:r>
          </w:p>
        </w:tc>
      </w:tr>
      <w:tr w:rsidR="00563C93" w:rsidRPr="00563C93" w:rsidTr="00563C93">
        <w:trPr>
          <w:trHeight w:val="229"/>
        </w:trPr>
        <w:tc>
          <w:tcPr>
            <w:tcW w:w="958" w:type="dxa"/>
            <w:shd w:val="clear" w:color="000000" w:fill="D9D9D9"/>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2014</w:t>
            </w:r>
          </w:p>
        </w:tc>
        <w:tc>
          <w:tcPr>
            <w:tcW w:w="1171"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576</w:t>
            </w:r>
          </w:p>
        </w:tc>
        <w:tc>
          <w:tcPr>
            <w:tcW w:w="845"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5256</w:t>
            </w:r>
          </w:p>
        </w:tc>
        <w:tc>
          <w:tcPr>
            <w:tcW w:w="1338"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872</w:t>
            </w:r>
          </w:p>
        </w:tc>
        <w:tc>
          <w:tcPr>
            <w:tcW w:w="958"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56</w:t>
            </w:r>
          </w:p>
        </w:tc>
        <w:tc>
          <w:tcPr>
            <w:tcW w:w="958"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6760</w:t>
            </w:r>
          </w:p>
        </w:tc>
      </w:tr>
      <w:tr w:rsidR="00563C93" w:rsidRPr="00563C93" w:rsidTr="00563C93">
        <w:trPr>
          <w:trHeight w:val="229"/>
        </w:trPr>
        <w:tc>
          <w:tcPr>
            <w:tcW w:w="958" w:type="dxa"/>
            <w:shd w:val="clear" w:color="000000" w:fill="D9D9D9"/>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2015</w:t>
            </w:r>
          </w:p>
        </w:tc>
        <w:tc>
          <w:tcPr>
            <w:tcW w:w="1171"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578</w:t>
            </w:r>
          </w:p>
        </w:tc>
        <w:tc>
          <w:tcPr>
            <w:tcW w:w="845"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5503</w:t>
            </w:r>
          </w:p>
        </w:tc>
        <w:tc>
          <w:tcPr>
            <w:tcW w:w="1338"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865</w:t>
            </w:r>
          </w:p>
        </w:tc>
        <w:tc>
          <w:tcPr>
            <w:tcW w:w="958"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w:t>
            </w:r>
          </w:p>
        </w:tc>
        <w:tc>
          <w:tcPr>
            <w:tcW w:w="958"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7032</w:t>
            </w:r>
          </w:p>
        </w:tc>
      </w:tr>
      <w:tr w:rsidR="00563C93" w:rsidRPr="00563C93" w:rsidTr="00563C93">
        <w:trPr>
          <w:trHeight w:val="229"/>
        </w:trPr>
        <w:tc>
          <w:tcPr>
            <w:tcW w:w="958" w:type="dxa"/>
            <w:shd w:val="clear" w:color="000000" w:fill="D9D9D9"/>
            <w:vAlign w:val="center"/>
          </w:tcPr>
          <w:p w:rsidR="00563C93" w:rsidRPr="00563C93" w:rsidRDefault="00563C93"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2016</w:t>
            </w:r>
          </w:p>
        </w:tc>
        <w:tc>
          <w:tcPr>
            <w:tcW w:w="1171" w:type="dxa"/>
            <w:shd w:val="clear" w:color="auto" w:fill="auto"/>
            <w:vAlign w:val="center"/>
          </w:tcPr>
          <w:p w:rsidR="00563C93" w:rsidRPr="00563C93" w:rsidRDefault="00563C93"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1008</w:t>
            </w:r>
          </w:p>
        </w:tc>
        <w:tc>
          <w:tcPr>
            <w:tcW w:w="845" w:type="dxa"/>
            <w:shd w:val="clear" w:color="auto" w:fill="auto"/>
            <w:vAlign w:val="center"/>
          </w:tcPr>
          <w:p w:rsidR="00563C93" w:rsidRPr="00563C93" w:rsidRDefault="00563C93"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7 651</w:t>
            </w:r>
          </w:p>
        </w:tc>
        <w:tc>
          <w:tcPr>
            <w:tcW w:w="1338" w:type="dxa"/>
            <w:shd w:val="clear" w:color="auto" w:fill="auto"/>
            <w:vAlign w:val="center"/>
          </w:tcPr>
          <w:p w:rsidR="00563C93" w:rsidRPr="00563C93" w:rsidRDefault="00563C93"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959</w:t>
            </w:r>
          </w:p>
        </w:tc>
        <w:tc>
          <w:tcPr>
            <w:tcW w:w="958" w:type="dxa"/>
            <w:shd w:val="clear" w:color="auto" w:fill="auto"/>
            <w:vAlign w:val="center"/>
          </w:tcPr>
          <w:p w:rsidR="00563C93" w:rsidRPr="00563C93" w:rsidRDefault="00563C93"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57</w:t>
            </w:r>
          </w:p>
        </w:tc>
        <w:tc>
          <w:tcPr>
            <w:tcW w:w="958" w:type="dxa"/>
            <w:shd w:val="clear" w:color="auto" w:fill="auto"/>
            <w:vAlign w:val="center"/>
          </w:tcPr>
          <w:p w:rsidR="00563C93" w:rsidRPr="00563C93" w:rsidRDefault="00563C93"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9815</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v roce 2010 služba přistavování bio VOK probíhala pouze od 1.9.-</w:t>
      </w:r>
      <w:proofErr w:type="gramStart"/>
      <w:r w:rsidRPr="00563C93">
        <w:rPr>
          <w:rFonts w:ascii="Arial" w:eastAsia="Times New Roman" w:hAnsi="Arial" w:cs="Arial"/>
          <w:bCs/>
          <w:sz w:val="20"/>
          <w:lang w:eastAsia="cs-CZ"/>
        </w:rPr>
        <w:t>30.11.2010</w:t>
      </w:r>
      <w:proofErr w:type="gramEnd"/>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xml:space="preserve">V tabulce nejsou uvedeny bioodpady sbírané v rámci TSK. V roce 2016 tyto bioodpady činily 1108,59 t. V rámci povinností původce odpadů ještě MHMP eviduje bioodpady vysbírané ze služeb organizovaných ÚMČ (1046,58t u katalogového čísla 20 02 01 a 0,19t u katalogového čísla 02 01 07) a bioodpad z aquacentra </w:t>
      </w:r>
      <w:proofErr w:type="spellStart"/>
      <w:r w:rsidRPr="00563C93">
        <w:rPr>
          <w:rFonts w:ascii="Arial" w:eastAsia="Times New Roman" w:hAnsi="Arial" w:cs="Arial"/>
          <w:bCs/>
          <w:sz w:val="20"/>
          <w:lang w:eastAsia="cs-CZ"/>
        </w:rPr>
        <w:t>Šutka</w:t>
      </w:r>
      <w:proofErr w:type="spellEnd"/>
      <w:r w:rsidRPr="00563C93">
        <w:rPr>
          <w:rFonts w:ascii="Arial" w:eastAsia="Times New Roman" w:hAnsi="Arial" w:cs="Arial"/>
          <w:bCs/>
          <w:sz w:val="20"/>
          <w:lang w:eastAsia="cs-CZ"/>
        </w:rPr>
        <w:t>, který v roce 2016 činil 0,62 t.</w:t>
      </w: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NEBEZPEČNÝCH ODPADŮ</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nebezpečného odpadu </w:t>
      </w:r>
      <w:r w:rsidRPr="00563C93">
        <w:rPr>
          <w:rFonts w:ascii="Arial" w:eastAsia="Times New Roman" w:hAnsi="Arial" w:cs="Arial"/>
          <w:sz w:val="20"/>
          <w:lang w:eastAsia="cs-CZ"/>
        </w:rPr>
        <w:t>(dále jen ”NO”) -</w:t>
      </w:r>
      <w:r w:rsidRPr="00563C93">
        <w:rPr>
          <w:rFonts w:ascii="Arial" w:eastAsia="Times New Roman" w:hAnsi="Arial" w:cs="Arial"/>
          <w:b/>
          <w:bCs/>
          <w:sz w:val="20"/>
          <w:lang w:eastAsia="cs-CZ"/>
        </w:rPr>
        <w:t xml:space="preserve"> </w:t>
      </w:r>
      <w:r w:rsidRPr="00563C93">
        <w:rPr>
          <w:rFonts w:ascii="Arial" w:eastAsia="Times New Roman" w:hAnsi="Arial" w:cs="Arial"/>
          <w:sz w:val="20"/>
          <w:lang w:eastAsia="cs-CZ"/>
        </w:rPr>
        <w:t xml:space="preserve">rozpouštědla, kyseliny, zásady, fotochemikálie, pesticidy, zářivky a jiný odpad obsahující rtuť, olej a tuk (vyjma jedlého), barvy, tiskařské barvy, lepidla, pryskyřice, detergenty a odmašťovací přípravky, nepoužitelná cytostatika a léky, baterie a akumulátory - probíhá na území hl. m. Prahy v několika úrovních: </w:t>
      </w:r>
    </w:p>
    <w:p w:rsidR="00563C93" w:rsidRPr="00563C93"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mobilní sběr </w:t>
      </w:r>
      <w:r w:rsidRPr="00563C93">
        <w:rPr>
          <w:rFonts w:ascii="Arial" w:eastAsia="Times New Roman" w:hAnsi="Arial" w:cs="Arial"/>
          <w:sz w:val="20"/>
          <w:lang w:eastAsia="cs-CZ"/>
        </w:rPr>
        <w:t>- celkem 302 tras průměrně s 8 zastávkami</w:t>
      </w:r>
    </w:p>
    <w:p w:rsidR="00563C93" w:rsidRPr="00563C93"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stabilní sběr </w:t>
      </w:r>
      <w:r w:rsidRPr="00563C93">
        <w:rPr>
          <w:rFonts w:ascii="Arial" w:eastAsia="Times New Roman" w:hAnsi="Arial" w:cs="Arial"/>
          <w:sz w:val="20"/>
          <w:lang w:eastAsia="cs-CZ"/>
        </w:rPr>
        <w:t>- celkem 28 stabilních shromažďovacích míst NO</w:t>
      </w:r>
    </w:p>
    <w:p w:rsidR="00563C93" w:rsidRPr="00563C93"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nepoužitelných léčiv </w:t>
      </w:r>
      <w:r w:rsidRPr="00563C93">
        <w:rPr>
          <w:rFonts w:ascii="Arial" w:eastAsia="Times New Roman" w:hAnsi="Arial" w:cs="Arial"/>
          <w:sz w:val="20"/>
          <w:lang w:eastAsia="cs-CZ"/>
        </w:rPr>
        <w:t>– k </w:t>
      </w:r>
      <w:proofErr w:type="gramStart"/>
      <w:r w:rsidRPr="00563C93">
        <w:rPr>
          <w:rFonts w:ascii="Arial" w:eastAsia="Times New Roman" w:hAnsi="Arial" w:cs="Arial"/>
          <w:sz w:val="20"/>
          <w:lang w:eastAsia="cs-CZ"/>
        </w:rPr>
        <w:t>31.12.2016</w:t>
      </w:r>
      <w:proofErr w:type="gramEnd"/>
      <w:r w:rsidRPr="00563C93">
        <w:rPr>
          <w:rFonts w:ascii="Arial" w:eastAsia="Times New Roman" w:hAnsi="Arial" w:cs="Arial"/>
          <w:sz w:val="20"/>
          <w:lang w:eastAsia="cs-CZ"/>
        </w:rPr>
        <w:t xml:space="preserve"> bylo v městském systému zapojeno 320 lékáren. </w:t>
      </w:r>
    </w:p>
    <w:p w:rsidR="00563C93" w:rsidRPr="00563C93" w:rsidRDefault="00563C93" w:rsidP="00563C93">
      <w:pPr>
        <w:tabs>
          <w:tab w:val="left" w:pos="851"/>
        </w:tabs>
        <w:autoSpaceDE w:val="0"/>
        <w:autoSpaceDN w:val="0"/>
        <w:adjustRightInd w:val="0"/>
        <w:spacing w:after="0" w:line="240" w:lineRule="auto"/>
        <w:ind w:left="851" w:hanging="142"/>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Mobilní sběr</w:t>
      </w:r>
      <w:r w:rsidRPr="00563C93">
        <w:rPr>
          <w:rFonts w:ascii="Arial" w:eastAsia="Times New Roman" w:hAnsi="Arial" w:cs="Arial"/>
          <w:sz w:val="20"/>
          <w:lang w:eastAsia="cs-CZ"/>
        </w:rPr>
        <w:t xml:space="preserve"> je provozován v období od února do listopadu kalendářního roku. Sběr NO probíhá převážně od 15</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19</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na žádost městských částí je v některých lokalitách prováděn také od 8</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12</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Občané mohou tímto způsobem odevzdat vybrané druhy NO. V jednotlivých městských částech je sběr prováděn minimálně 3x ročně podle pevně stanoveného harmonogramu. Počet sběrových tras a zastávek odpovídá počtu obyvatel příslušné městské části. Na určených zastávkách ve stanoveném čase osádka vozidla přebírá od občanů NO.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Stabilní sběr</w:t>
      </w:r>
      <w:r w:rsidRPr="00563C93">
        <w:rPr>
          <w:rFonts w:ascii="Arial" w:eastAsia="Times New Roman" w:hAnsi="Arial" w:cs="Arial"/>
          <w:sz w:val="20"/>
          <w:lang w:eastAsia="cs-CZ"/>
        </w:rPr>
        <w:t xml:space="preserve"> byl v roce 2016 zajištěn na 28 stabilních shromažďovacích místech s celoročním provozem, kde mohou občané odevzdávat NO. Z toho 20 stabilních sběren bylo zřízeno v rámci sběrných dvorů, jejichž provoz hradí hl. m. Praha.</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nepoužitelných léčiv </w:t>
      </w:r>
      <w:r w:rsidRPr="00563C93">
        <w:rPr>
          <w:rFonts w:ascii="Arial" w:eastAsia="Times New Roman" w:hAnsi="Arial" w:cs="Arial"/>
          <w:sz w:val="20"/>
          <w:lang w:eastAsia="cs-CZ"/>
        </w:rPr>
        <w:t>probíhá rovněž ve více než 300 lékárnách, které jsou zapojeny do systému organizovaného městem. Obyvatelé mohou odevzdat nepoužitelná léčiva ve všech lékárnách na území hl. m. Prahy, tedy i těch, které městský systém nevyužívají.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Celkem bylo v letech 1998 - 2016 vybráno následující množství NO:</w:t>
      </w:r>
    </w:p>
    <w:tbl>
      <w:tblPr>
        <w:tblW w:w="52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51"/>
        <w:gridCol w:w="1424"/>
        <w:gridCol w:w="1425"/>
        <w:gridCol w:w="1425"/>
        <w:gridCol w:w="1425"/>
        <w:gridCol w:w="1425"/>
      </w:tblGrid>
      <w:tr w:rsidR="00563C93" w:rsidRPr="00563C93" w:rsidTr="00746856">
        <w:trPr>
          <w:trHeight w:val="240"/>
        </w:trPr>
        <w:tc>
          <w:tcPr>
            <w:tcW w:w="2451"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124"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746856">
        <w:trPr>
          <w:trHeight w:val="240"/>
        </w:trPr>
        <w:tc>
          <w:tcPr>
            <w:tcW w:w="2451"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24"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1998</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1999</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2000</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2001</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2002</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131</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w:t>
            </w:r>
          </w:p>
        </w:tc>
      </w:tr>
      <w:tr w:rsidR="00563C93" w:rsidRPr="00563C93" w:rsidTr="00746856">
        <w:trPr>
          <w:trHeight w:val="240"/>
        </w:trPr>
        <w:tc>
          <w:tcPr>
            <w:tcW w:w="2451"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lastRenderedPageBreak/>
              <w:t>stabilní a 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lastRenderedPageBreak/>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color w:val="000000"/>
                <w:sz w:val="18"/>
                <w:szCs w:val="20"/>
                <w:lang w:eastAsia="cs-CZ"/>
              </w:rPr>
              <w:t>175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178</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164</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238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r>
      <w:tr w:rsidR="00563C93" w:rsidRPr="00563C93" w:rsidTr="00746856">
        <w:trPr>
          <w:trHeight w:val="240"/>
        </w:trPr>
        <w:tc>
          <w:tcPr>
            <w:tcW w:w="2451"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24"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117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222</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267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319</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627</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highlight w:val="yellow"/>
          <w:lang w:eastAsia="cs-CZ"/>
        </w:rPr>
      </w:pPr>
    </w:p>
    <w:tbl>
      <w:tblPr>
        <w:tblW w:w="9639"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65"/>
        <w:gridCol w:w="1434"/>
        <w:gridCol w:w="1435"/>
        <w:gridCol w:w="1435"/>
        <w:gridCol w:w="1435"/>
        <w:gridCol w:w="1435"/>
      </w:tblGrid>
      <w:tr w:rsidR="00563C93" w:rsidRPr="00563C93" w:rsidTr="00563C93">
        <w:trPr>
          <w:trHeight w:val="240"/>
        </w:trPr>
        <w:tc>
          <w:tcPr>
            <w:tcW w:w="2438"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1418"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563C93">
        <w:trPr>
          <w:trHeight w:val="240"/>
        </w:trPr>
        <w:tc>
          <w:tcPr>
            <w:tcW w:w="2438"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2003</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2004</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2005</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2006</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2007</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236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288</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563C93">
        <w:trPr>
          <w:trHeight w:val="240"/>
        </w:trPr>
        <w:tc>
          <w:tcPr>
            <w:tcW w:w="243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308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317</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423</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322</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491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409</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c>
          <w:tcPr>
            <w:tcW w:w="1418"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47</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40"/>
        </w:trPr>
        <w:tc>
          <w:tcPr>
            <w:tcW w:w="2438"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799</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850</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874</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369</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34"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511"/>
        <w:gridCol w:w="1439"/>
        <w:gridCol w:w="1421"/>
        <w:gridCol w:w="1421"/>
        <w:gridCol w:w="1421"/>
        <w:gridCol w:w="1421"/>
      </w:tblGrid>
      <w:tr w:rsidR="00563C93" w:rsidRPr="00563C93" w:rsidTr="00563C93">
        <w:trPr>
          <w:trHeight w:val="252"/>
        </w:trPr>
        <w:tc>
          <w:tcPr>
            <w:tcW w:w="2495"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082"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563C93">
        <w:trPr>
          <w:trHeight w:val="252"/>
        </w:trPr>
        <w:tc>
          <w:tcPr>
            <w:tcW w:w="2495"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2008</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2011</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366</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378</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64</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14</w:t>
            </w:r>
          </w:p>
        </w:tc>
      </w:tr>
      <w:tr w:rsidR="00563C93" w:rsidRPr="00563C93" w:rsidTr="00563C93">
        <w:trPr>
          <w:trHeight w:val="252"/>
        </w:trPr>
        <w:tc>
          <w:tcPr>
            <w:tcW w:w="249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445</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412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430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392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30"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68</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470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502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486</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453</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563C93" w:rsidRPr="00563C93" w:rsidTr="00563C93">
        <w:trPr>
          <w:trHeight w:val="334"/>
        </w:trPr>
        <w:tc>
          <w:tcPr>
            <w:tcW w:w="2421"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Způsob sběru</w:t>
            </w:r>
          </w:p>
        </w:tc>
        <w:tc>
          <w:tcPr>
            <w:tcW w:w="1418" w:type="dxa"/>
            <w:gridSpan w:val="5"/>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Množství nebezpečného odpadu v tunách</w:t>
            </w:r>
          </w:p>
        </w:tc>
      </w:tr>
      <w:tr w:rsidR="00563C93" w:rsidRPr="00563C93" w:rsidTr="00563C93">
        <w:trPr>
          <w:trHeight w:val="317"/>
        </w:trPr>
        <w:tc>
          <w:tcPr>
            <w:tcW w:w="2421" w:type="dxa"/>
            <w:vMerge/>
            <w:tcBorders>
              <w:top w:val="single" w:sz="12" w:space="0" w:color="auto"/>
              <w:left w:val="single" w:sz="12"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color w:val="000000"/>
                <w:sz w:val="18"/>
                <w:szCs w:val="20"/>
                <w:lang w:eastAsia="cs-CZ"/>
              </w:rPr>
              <w:t>2013</w:t>
            </w: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2014</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2015</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2016 </w:t>
            </w:r>
          </w:p>
        </w:tc>
        <w:tc>
          <w:tcPr>
            <w:tcW w:w="1418" w:type="dxa"/>
            <w:tcBorders>
              <w:top w:val="nil"/>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367</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413</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512</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Mobilní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sz w:val="18"/>
                <w:szCs w:val="20"/>
                <w:lang w:eastAsia="cs-CZ"/>
              </w:rPr>
              <w:t>39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03"/>
        </w:trPr>
        <w:tc>
          <w:tcPr>
            <w:tcW w:w="2421" w:type="dxa"/>
            <w:tcBorders>
              <w:top w:val="nil"/>
              <w:left w:val="single" w:sz="12" w:space="0" w:color="auto"/>
              <w:bottom w:val="nil"/>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xml:space="preserve">Celkem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20"/>
                <w:lang w:eastAsia="cs-CZ"/>
              </w:rPr>
              <w:t>406</w:t>
            </w:r>
          </w:p>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440</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453</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546</w:t>
            </w:r>
          </w:p>
        </w:tc>
        <w:tc>
          <w:tcPr>
            <w:tcW w:w="1418"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stabilní a mobilní sběr</w:t>
            </w: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12"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chladicích zařízení</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TV a PC monitorů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69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 </w:t>
            </w:r>
            <w:proofErr w:type="spellStart"/>
            <w:r w:rsidRPr="00563C93">
              <w:rPr>
                <w:rFonts w:ascii="Arial" w:eastAsia="Times New Roman" w:hAnsi="Arial" w:cs="Arial"/>
                <w:color w:val="000000"/>
                <w:sz w:val="18"/>
                <w:szCs w:val="18"/>
                <w:lang w:eastAsia="cs-CZ"/>
              </w:rPr>
              <w:t>ZpO</w:t>
            </w:r>
            <w:proofErr w:type="spellEnd"/>
            <w:r w:rsidRPr="00563C93">
              <w:rPr>
                <w:rFonts w:ascii="Arial" w:eastAsia="Times New Roman" w:hAnsi="Arial" w:cs="Arial"/>
                <w:color w:val="000000"/>
                <w:sz w:val="18"/>
                <w:szCs w:val="18"/>
                <w:lang w:eastAsia="cs-CZ"/>
              </w:rPr>
              <w:t> </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Sběr nepoužitelných léčiv </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95</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monočlánků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Celkem</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474</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519</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540</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641 </w:t>
            </w:r>
          </w:p>
        </w:tc>
        <w:tc>
          <w:tcPr>
            <w:tcW w:w="1418" w:type="dxa"/>
            <w:tcBorders>
              <w:top w:val="nil"/>
              <w:left w:val="nil"/>
              <w:bottom w:val="single" w:sz="12"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r w:rsidRPr="00563C93">
        <w:rPr>
          <w:rFonts w:ascii="Arial" w:eastAsia="Times New Roman" w:hAnsi="Arial" w:cs="Arial"/>
          <w:sz w:val="18"/>
          <w:lang w:eastAsia="cs-CZ"/>
        </w:rPr>
        <w:t xml:space="preserve">*) </w:t>
      </w:r>
      <w:proofErr w:type="spellStart"/>
      <w:r w:rsidRPr="00563C93">
        <w:rPr>
          <w:rFonts w:ascii="Arial" w:eastAsia="Times New Roman" w:hAnsi="Arial" w:cs="Arial"/>
          <w:sz w:val="18"/>
          <w:lang w:eastAsia="cs-CZ"/>
        </w:rPr>
        <w:t>ZpO</w:t>
      </w:r>
      <w:proofErr w:type="spellEnd"/>
      <w:r w:rsidRPr="00563C93">
        <w:rPr>
          <w:rFonts w:ascii="Arial" w:eastAsia="Times New Roman" w:hAnsi="Arial" w:cs="Arial"/>
          <w:sz w:val="18"/>
          <w:lang w:eastAsia="cs-CZ"/>
        </w:rPr>
        <w:t xml:space="preserve"> – sběr a evidence v rámci zpětného odběru</w:t>
      </w:r>
    </w:p>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r w:rsidRPr="00563C93">
        <w:rPr>
          <w:rFonts w:ascii="Arial" w:eastAsia="Times New Roman" w:hAnsi="Arial" w:cs="Arial"/>
          <w:sz w:val="18"/>
          <w:lang w:eastAsia="cs-CZ"/>
        </w:rPr>
        <w:t>**) v roce 2012 probíhal pouze v měsících únor, březen, říjen a listopad</w:t>
      </w:r>
    </w:p>
    <w:p w:rsidR="00746856" w:rsidRPr="00563C93" w:rsidRDefault="00746856" w:rsidP="00563C93">
      <w:pPr>
        <w:autoSpaceDE w:val="0"/>
        <w:autoSpaceDN w:val="0"/>
        <w:adjustRightInd w:val="0"/>
        <w:spacing w:after="0" w:line="240" w:lineRule="auto"/>
        <w:rPr>
          <w:rFonts w:ascii="Arial" w:eastAsia="Times New Roman" w:hAnsi="Arial" w:cs="Arial"/>
          <w:sz w:val="20"/>
          <w:szCs w:val="20"/>
          <w:highlight w:val="yellow"/>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ZPĚTNÝ ODBĚR VÝROBKŮ</w:t>
      </w:r>
    </w:p>
    <w:p w:rsidR="00563C93" w:rsidRPr="00563C93" w:rsidRDefault="00563C93" w:rsidP="00563C93">
      <w:pPr>
        <w:autoSpaceDE w:val="0"/>
        <w:autoSpaceDN w:val="0"/>
        <w:adjustRightInd w:val="0"/>
        <w:spacing w:after="0" w:line="240" w:lineRule="auto"/>
        <w:rPr>
          <w:rFonts w:ascii="Times New Roman" w:eastAsia="Times New Roman" w:hAnsi="Times New Roman" w:cs="Times New Roman"/>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Na základě </w:t>
      </w:r>
      <w:r w:rsidRPr="00563C93">
        <w:rPr>
          <w:rFonts w:ascii="Arial" w:eastAsia="Times New Roman" w:hAnsi="Arial" w:cs="Arial"/>
          <w:b/>
          <w:bCs/>
          <w:sz w:val="20"/>
          <w:lang w:eastAsia="cs-CZ"/>
        </w:rPr>
        <w:t>zákona č.185/2001 Sb., o odpadech a o změně některých dalších zákonů</w:t>
      </w:r>
      <w:r w:rsidRPr="00563C93">
        <w:rPr>
          <w:rFonts w:ascii="Arial" w:eastAsia="Times New Roman" w:hAnsi="Arial" w:cs="Arial"/>
          <w:sz w:val="20"/>
          <w:lang w:eastAsia="cs-CZ"/>
        </w:rPr>
        <w:t xml:space="preserve">, ve znění pozdějších předpisů (dále jen “zákon o odpadech”), je zavedena povinnost osobám, které dováží či vyrábí určené výrobky zajistit jejich </w:t>
      </w:r>
      <w:r w:rsidRPr="00563C93">
        <w:rPr>
          <w:rFonts w:ascii="Arial" w:eastAsia="Times New Roman" w:hAnsi="Arial" w:cs="Arial"/>
          <w:b/>
          <w:bCs/>
          <w:sz w:val="20"/>
          <w:lang w:eastAsia="cs-CZ"/>
        </w:rPr>
        <w:t>bezplatný zpětný odběr</w:t>
      </w:r>
      <w:r w:rsidRPr="00563C93">
        <w:rPr>
          <w:rFonts w:ascii="Arial" w:eastAsia="Times New Roman" w:hAnsi="Arial" w:cs="Arial"/>
          <w:sz w:val="20"/>
          <w:lang w:eastAsia="cs-CZ"/>
        </w:rPr>
        <w:t xml:space="preserve"> od spotřebitelů. Povinnost zpětného odběru byla </w:t>
      </w:r>
      <w:r w:rsidRPr="00563C93">
        <w:rPr>
          <w:rFonts w:ascii="Arial" w:eastAsia="Times New Roman" w:hAnsi="Arial" w:cs="Arial"/>
          <w:sz w:val="20"/>
          <w:u w:val="single"/>
          <w:lang w:eastAsia="cs-CZ"/>
        </w:rPr>
        <w:t>ze zákona</w:t>
      </w:r>
      <w:r w:rsidRPr="00563C93">
        <w:rPr>
          <w:rFonts w:ascii="Arial" w:eastAsia="Times New Roman" w:hAnsi="Arial" w:cs="Arial"/>
          <w:sz w:val="20"/>
          <w:lang w:eastAsia="cs-CZ"/>
        </w:rPr>
        <w:t xml:space="preserve"> u všech níže uvedených výrobků kromě chladicích zařízení dána od </w:t>
      </w:r>
      <w:proofErr w:type="gramStart"/>
      <w:r w:rsidRPr="00563C93">
        <w:rPr>
          <w:rFonts w:ascii="Arial" w:eastAsia="Times New Roman" w:hAnsi="Arial" w:cs="Arial"/>
          <w:sz w:val="20"/>
          <w:u w:val="single"/>
          <w:lang w:eastAsia="cs-CZ"/>
        </w:rPr>
        <w:t>23.2.2002</w:t>
      </w:r>
      <w:proofErr w:type="gramEnd"/>
      <w:r w:rsidRPr="00563C93">
        <w:rPr>
          <w:rFonts w:ascii="Arial" w:eastAsia="Times New Roman" w:hAnsi="Arial" w:cs="Arial"/>
          <w:sz w:val="20"/>
          <w:lang w:eastAsia="cs-CZ"/>
        </w:rPr>
        <w:t xml:space="preserve">. Povinnost zpětného odběru elektrozařízení byla stanovena odlišně - od </w:t>
      </w:r>
      <w:proofErr w:type="gramStart"/>
      <w:r w:rsidRPr="00563C93">
        <w:rPr>
          <w:rFonts w:ascii="Arial" w:eastAsia="Times New Roman" w:hAnsi="Arial" w:cs="Arial"/>
          <w:sz w:val="20"/>
          <w:u w:val="single"/>
          <w:lang w:eastAsia="cs-CZ"/>
        </w:rPr>
        <w:t>13.8.2005</w:t>
      </w:r>
      <w:proofErr w:type="gramEnd"/>
      <w:r w:rsidRPr="00563C93">
        <w:rPr>
          <w:rFonts w:ascii="Arial" w:eastAsia="Times New Roman" w:hAnsi="Arial" w:cs="Arial"/>
          <w:sz w:val="20"/>
          <w:lang w:eastAsia="cs-CZ"/>
        </w:rPr>
        <w:t>.</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lastRenderedPageBreak/>
        <w:t>Zpětnému odběru podléhají následující výrobky: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Minerální oleje a oleje ze živičných nerostů</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sz w:val="20"/>
          <w:lang w:eastAsia="cs-CZ"/>
        </w:rPr>
        <w:t xml:space="preserve">Akumulátory a </w:t>
      </w:r>
      <w:r w:rsidRPr="00563C93">
        <w:rPr>
          <w:rFonts w:ascii="Arial" w:eastAsia="Times New Roman" w:hAnsi="Arial" w:cs="Arial"/>
          <w:b/>
          <w:sz w:val="20"/>
          <w:lang w:eastAsia="cs-CZ"/>
        </w:rPr>
        <w:t>b</w:t>
      </w:r>
      <w:r w:rsidRPr="00563C93">
        <w:rPr>
          <w:rFonts w:ascii="Arial" w:eastAsia="Times New Roman" w:hAnsi="Arial" w:cs="Arial"/>
          <w:b/>
          <w:bCs/>
          <w:sz w:val="20"/>
          <w:lang w:eastAsia="cs-CZ"/>
        </w:rPr>
        <w:t>aterie</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Výbojky a zářivky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Pneumatiky (nejsou nebezpečným odpadem, ale jsou odpadem se specifickým režimem)</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Vyřazená elektrozařízení pocházející z domácností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Vzhledem k tomu, že tyto výrobky již mají v současné době statut výrobku se zpětným odběrem, je o toto množství snížena produkce nebezpečného odpadu na území hl. m. Prahy.</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r w:rsidRPr="00563C93">
        <w:rPr>
          <w:rFonts w:ascii="Arial" w:eastAsia="Times New Roman" w:hAnsi="Arial" w:cs="Arial"/>
          <w:b/>
          <w:bCs/>
          <w:sz w:val="20"/>
          <w:lang w:eastAsia="cs-CZ"/>
        </w:rPr>
        <w:t xml:space="preserve">V rámci </w:t>
      </w:r>
      <w:r w:rsidRPr="00563C93">
        <w:rPr>
          <w:rFonts w:ascii="Arial" w:eastAsia="Times New Roman" w:hAnsi="Arial" w:cs="Arial"/>
          <w:b/>
          <w:bCs/>
          <w:sz w:val="20"/>
          <w:u w:val="single"/>
          <w:lang w:eastAsia="cs-CZ"/>
        </w:rPr>
        <w:t>zpětného odběru</w:t>
      </w:r>
      <w:r w:rsidRPr="00563C93">
        <w:rPr>
          <w:rFonts w:ascii="Arial" w:eastAsia="Times New Roman" w:hAnsi="Arial" w:cs="Arial"/>
          <w:b/>
          <w:bCs/>
          <w:sz w:val="20"/>
          <w:lang w:eastAsia="cs-CZ"/>
        </w:rPr>
        <w:t xml:space="preserve"> bylo občany odevzdáno:</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p>
    <w:tbl>
      <w:tblPr>
        <w:tblW w:w="14770" w:type="dxa"/>
        <w:tblLayout w:type="fixed"/>
        <w:tblCellMar>
          <w:left w:w="0" w:type="dxa"/>
          <w:right w:w="0" w:type="dxa"/>
        </w:tblCellMar>
        <w:tblLook w:val="0000" w:firstRow="0" w:lastRow="0" w:firstColumn="0" w:lastColumn="0" w:noHBand="0" w:noVBand="0"/>
      </w:tblPr>
      <w:tblGrid>
        <w:gridCol w:w="1858"/>
        <w:gridCol w:w="780"/>
        <w:gridCol w:w="877"/>
        <w:gridCol w:w="877"/>
        <w:gridCol w:w="877"/>
        <w:gridCol w:w="877"/>
        <w:gridCol w:w="877"/>
        <w:gridCol w:w="877"/>
        <w:gridCol w:w="877"/>
        <w:gridCol w:w="5993"/>
      </w:tblGrid>
      <w:tr w:rsidR="00563C93" w:rsidRPr="00563C93" w:rsidTr="00563C93">
        <w:trPr>
          <w:trHeight w:val="435"/>
        </w:trPr>
        <w:tc>
          <w:tcPr>
            <w:tcW w:w="1858" w:type="dxa"/>
            <w:tcBorders>
              <w:top w:val="single" w:sz="12" w:space="0" w:color="auto"/>
              <w:left w:val="single" w:sz="12" w:space="0" w:color="auto"/>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c>
          <w:tcPr>
            <w:tcW w:w="780" w:type="dxa"/>
            <w:tcBorders>
              <w:top w:val="single" w:sz="12" w:space="0" w:color="auto"/>
              <w:left w:val="nil"/>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2005</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877" w:type="dxa"/>
            <w:tcBorders>
              <w:top w:val="single" w:sz="12" w:space="0" w:color="auto"/>
              <w:left w:val="nil"/>
              <w:bottom w:val="double" w:sz="4"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877" w:type="dxa"/>
            <w:tcBorders>
              <w:top w:val="single" w:sz="12" w:space="0" w:color="auto"/>
              <w:left w:val="single" w:sz="4"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877" w:type="dxa"/>
            <w:tcBorders>
              <w:top w:val="single" w:sz="12" w:space="0" w:color="auto"/>
              <w:left w:val="single" w:sz="6" w:space="0" w:color="auto"/>
              <w:right w:val="single" w:sz="6"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c>
          <w:tcPr>
            <w:tcW w:w="5993" w:type="dxa"/>
            <w:tcBorders>
              <w:left w:val="single" w:sz="12" w:space="0" w:color="auto"/>
            </w:tcBorders>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přenosné baterie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6"/>
                <w:szCs w:val="16"/>
                <w:lang w:eastAsia="cs-CZ"/>
              </w:rPr>
            </w:pPr>
            <w:r w:rsidRPr="00563C93">
              <w:rPr>
                <w:rFonts w:ascii="Arial" w:eastAsia="Times New Roman" w:hAnsi="Arial" w:cs="Arial"/>
                <w:color w:val="000000"/>
                <w:sz w:val="16"/>
                <w:szCs w:val="16"/>
                <w:lang w:eastAsia="cs-CZ"/>
              </w:rPr>
              <w:t>nezjištěno</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10,5</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televize a monitory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442</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776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1 346</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1 735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1 525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1 486</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1 660</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chladničky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171</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635</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837</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1 021</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1 170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1 032</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1 799</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1 574</w:t>
            </w:r>
          </w:p>
        </w:tc>
      </w:tr>
      <w:tr w:rsidR="00563C93" w:rsidRPr="00563C93" w:rsidTr="00563C93">
        <w:trPr>
          <w:gridAfter w:val="1"/>
          <w:wAfter w:w="5993" w:type="dxa"/>
          <w:trHeight w:val="227"/>
        </w:trPr>
        <w:tc>
          <w:tcPr>
            <w:tcW w:w="1858" w:type="dxa"/>
            <w:tcBorders>
              <w:top w:val="double" w:sz="4" w:space="0" w:color="auto"/>
              <w:left w:val="single" w:sz="12"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světelné zdroje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0,8</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3,8</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7,2</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13,7</w:t>
            </w:r>
          </w:p>
        </w:tc>
      </w:tr>
      <w:tr w:rsidR="00563C93" w:rsidRPr="00563C93" w:rsidTr="00563C93">
        <w:trPr>
          <w:gridAfter w:val="1"/>
          <w:wAfter w:w="5993" w:type="dxa"/>
          <w:trHeight w:val="227"/>
        </w:trPr>
        <w:tc>
          <w:tcPr>
            <w:tcW w:w="1858" w:type="dxa"/>
            <w:tcBorders>
              <w:top w:val="single" w:sz="4" w:space="0" w:color="auto"/>
              <w:left w:val="single" w:sz="12" w:space="0" w:color="auto"/>
              <w:bottom w:val="single" w:sz="12"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celkem odevzdáno (t)</w:t>
            </w:r>
          </w:p>
        </w:tc>
        <w:tc>
          <w:tcPr>
            <w:tcW w:w="780"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1 085</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1 626</w:t>
            </w:r>
          </w:p>
        </w:tc>
        <w:tc>
          <w:tcPr>
            <w:tcW w:w="877" w:type="dxa"/>
            <w:tcBorders>
              <w:top w:val="single" w:sz="4" w:space="0" w:color="auto"/>
              <w:left w:val="nil"/>
              <w:bottom w:val="single" w:sz="12"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2 380</w:t>
            </w:r>
          </w:p>
        </w:tc>
        <w:tc>
          <w:tcPr>
            <w:tcW w:w="877" w:type="dxa"/>
            <w:tcBorders>
              <w:top w:val="single" w:sz="4" w:space="0" w:color="auto"/>
              <w:left w:val="single" w:sz="4"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2 926</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2 573</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3 297</w:t>
            </w:r>
          </w:p>
        </w:tc>
        <w:tc>
          <w:tcPr>
            <w:tcW w:w="877" w:type="dxa"/>
            <w:tcBorders>
              <w:top w:val="single" w:sz="4" w:space="0" w:color="auto"/>
              <w:left w:val="single" w:sz="6" w:space="0" w:color="auto"/>
              <w:bottom w:val="single" w:sz="12" w:space="0" w:color="auto"/>
              <w:right w:val="single" w:sz="12"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3 258</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rámci komplexního systému nakládání s komunálním odpadem na území hl. m. Prahy je možnost odevzdávat výrobky zpětného odběru na sběrných dvorech hl. m. Prahy a od roku 2012 také do stacionárních kontejnerů umístěných v ulicích města. V roce 2016 bylo v ulicích města rozmístěno 293</w:t>
      </w:r>
      <w:r w:rsidRPr="00563C93">
        <w:rPr>
          <w:rFonts w:ascii="Arial" w:eastAsia="Times New Roman" w:hAnsi="Arial" w:cs="Arial"/>
          <w:sz w:val="20"/>
          <w:highlight w:val="yellow"/>
          <w:lang w:eastAsia="cs-CZ"/>
        </w:rPr>
        <w:t xml:space="preserve"> </w:t>
      </w:r>
      <w:r w:rsidRPr="00563C93">
        <w:rPr>
          <w:rFonts w:ascii="Arial" w:eastAsia="Times New Roman" w:hAnsi="Arial" w:cs="Arial"/>
          <w:sz w:val="20"/>
          <w:lang w:eastAsia="cs-CZ"/>
        </w:rPr>
        <w:t>kontejnerů na drobné elektrozařízení.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roce 2013 došlo k rozšíření informací ohledně vysbíraného množství výrobků zpětného odběru, proto jsou údaje uváděny v nové podobě. V rámci zpětného odběru bylo na SD hl. m. Prahy v roce 2016 odevzdáno následující množství zařízení a výrobků v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tbl>
      <w:tblPr>
        <w:tblW w:w="7004"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tblGrid>
      <w:tr w:rsidR="00563C93" w:rsidRPr="00563C93" w:rsidTr="00563C93">
        <w:trPr>
          <w:trHeight w:val="267"/>
        </w:trPr>
        <w:tc>
          <w:tcPr>
            <w:tcW w:w="3128" w:type="dxa"/>
            <w:shd w:val="clear" w:color="000000"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Druh zařízení, výrobků</w:t>
            </w:r>
          </w:p>
        </w:tc>
        <w:tc>
          <w:tcPr>
            <w:tcW w:w="969" w:type="dxa"/>
            <w:shd w:val="clear" w:color="000000"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9" w:type="dxa"/>
            <w:shd w:val="clear" w:color="000000"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9" w:type="dxa"/>
            <w:shd w:val="clear" w:color="000000" w:fill="D9D9D9"/>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9" w:type="dxa"/>
            <w:shd w:val="clear" w:color="000000" w:fill="D9D9D9"/>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r>
      <w:tr w:rsidR="00563C93" w:rsidRPr="00563C93" w:rsidTr="00563C93">
        <w:trPr>
          <w:trHeight w:val="227"/>
        </w:trPr>
        <w:tc>
          <w:tcPr>
            <w:tcW w:w="3128"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TV a monitory</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925</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1 584,4</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923,9</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891,7</w:t>
            </w:r>
          </w:p>
        </w:tc>
      </w:tr>
      <w:tr w:rsidR="00563C93" w:rsidRPr="00563C93" w:rsidTr="00563C93">
        <w:trPr>
          <w:trHeight w:val="227"/>
        </w:trPr>
        <w:tc>
          <w:tcPr>
            <w:tcW w:w="3128"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ostatní elektrozařízení - </w:t>
            </w:r>
            <w:proofErr w:type="spellStart"/>
            <w:r w:rsidRPr="00563C93">
              <w:rPr>
                <w:rFonts w:ascii="Arial" w:eastAsia="Times New Roman" w:hAnsi="Arial" w:cs="Arial"/>
                <w:color w:val="000000"/>
                <w:sz w:val="18"/>
                <w:szCs w:val="18"/>
                <w:lang w:eastAsia="cs-CZ"/>
              </w:rPr>
              <w:t>Asekol</w:t>
            </w:r>
            <w:proofErr w:type="spellEnd"/>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407,5</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769</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563,5</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325,5</w:t>
            </w:r>
          </w:p>
        </w:tc>
      </w:tr>
      <w:tr w:rsidR="00563C93" w:rsidRPr="00563C93" w:rsidTr="00563C93">
        <w:trPr>
          <w:trHeight w:val="227"/>
        </w:trPr>
        <w:tc>
          <w:tcPr>
            <w:tcW w:w="3128"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světelné zdroje</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14,9</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15,7</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19,7</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w:t>
            </w:r>
          </w:p>
        </w:tc>
      </w:tr>
      <w:tr w:rsidR="00563C93" w:rsidRPr="00563C93" w:rsidTr="00563C93">
        <w:trPr>
          <w:trHeight w:val="227"/>
        </w:trPr>
        <w:tc>
          <w:tcPr>
            <w:tcW w:w="3128"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Chladničky</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933</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822,7</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855,7</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889,2</w:t>
            </w:r>
          </w:p>
        </w:tc>
      </w:tr>
      <w:tr w:rsidR="00563C93" w:rsidRPr="00563C93" w:rsidTr="00563C93">
        <w:trPr>
          <w:trHeight w:val="227"/>
        </w:trPr>
        <w:tc>
          <w:tcPr>
            <w:tcW w:w="3128" w:type="dxa"/>
            <w:shd w:val="clear" w:color="auto" w:fill="auto"/>
            <w:noWrap/>
            <w:vAlign w:val="center"/>
            <w:hideMark/>
          </w:tcPr>
          <w:p w:rsidR="00563C93" w:rsidRPr="00563C93" w:rsidRDefault="00694188"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Velké a malé spotřebiče - </w:t>
            </w:r>
            <w:proofErr w:type="spellStart"/>
            <w:r>
              <w:rPr>
                <w:rFonts w:ascii="Arial" w:eastAsia="Times New Roman" w:hAnsi="Arial" w:cs="Arial"/>
                <w:color w:val="000000"/>
                <w:sz w:val="18"/>
                <w:szCs w:val="18"/>
                <w:lang w:eastAsia="cs-CZ"/>
              </w:rPr>
              <w:t>Elek</w:t>
            </w:r>
            <w:r w:rsidR="00563C93" w:rsidRPr="00563C93">
              <w:rPr>
                <w:rFonts w:ascii="Arial" w:eastAsia="Times New Roman" w:hAnsi="Arial" w:cs="Arial"/>
                <w:color w:val="000000"/>
                <w:sz w:val="18"/>
                <w:szCs w:val="18"/>
                <w:lang w:eastAsia="cs-CZ"/>
              </w:rPr>
              <w:t>trowin</w:t>
            </w:r>
            <w:proofErr w:type="spellEnd"/>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668,4</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659,1</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798,1</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999,4</w:t>
            </w:r>
          </w:p>
        </w:tc>
      </w:tr>
      <w:tr w:rsidR="00563C93" w:rsidRPr="00563C93" w:rsidTr="00563C93">
        <w:trPr>
          <w:trHeight w:val="227"/>
        </w:trPr>
        <w:tc>
          <w:tcPr>
            <w:tcW w:w="3128"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Baterie</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6,4</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18,4</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20,4</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34,7</w:t>
            </w:r>
          </w:p>
        </w:tc>
      </w:tr>
      <w:tr w:rsidR="00563C93" w:rsidRPr="00563C93" w:rsidTr="00563C93">
        <w:trPr>
          <w:trHeight w:val="227"/>
        </w:trPr>
        <w:tc>
          <w:tcPr>
            <w:tcW w:w="3128"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1353,8</w:t>
            </w:r>
          </w:p>
        </w:tc>
        <w:tc>
          <w:tcPr>
            <w:tcW w:w="969"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3 869,3</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3 181,3</w:t>
            </w:r>
          </w:p>
        </w:tc>
        <w:tc>
          <w:tcPr>
            <w:tcW w:w="969" w:type="dxa"/>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3 162,4</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r w:rsidRPr="00563C93">
        <w:rPr>
          <w:rFonts w:ascii="Arial" w:eastAsia="Times New Roman" w:hAnsi="Arial" w:cs="Arial"/>
          <w:sz w:val="20"/>
          <w:lang w:eastAsia="cs-CZ"/>
        </w:rPr>
        <w:t>Množství vysbíraného drobného elektrozařízení ve stacionárních kontejnerech umístěných v ulicích v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tbl>
      <w:tblPr>
        <w:tblW w:w="215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0"/>
        <w:gridCol w:w="1183"/>
      </w:tblGrid>
      <w:tr w:rsidR="00563C93" w:rsidRPr="00563C93" w:rsidTr="00563C93">
        <w:trPr>
          <w:trHeight w:val="227"/>
        </w:trPr>
        <w:tc>
          <w:tcPr>
            <w:tcW w:w="970" w:type="dxa"/>
            <w:shd w:val="clear" w:color="auto"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1183" w:type="dxa"/>
            <w:shd w:val="clear" w:color="auto"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množství (t)</w:t>
            </w:r>
          </w:p>
        </w:tc>
      </w:tr>
      <w:tr w:rsidR="00563C93" w:rsidRPr="00563C93" w:rsidTr="00563C93">
        <w:trPr>
          <w:trHeight w:val="227"/>
        </w:trPr>
        <w:tc>
          <w:tcPr>
            <w:tcW w:w="970"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183"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94,5</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108,0</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143,1</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178,9</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243,1</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r w:rsidRPr="004536C2">
        <w:rPr>
          <w:rFonts w:ascii="Arial" w:eastAsia="Times New Roman" w:hAnsi="Arial" w:cs="Arial"/>
          <w:b/>
          <w:bCs/>
          <w:caps/>
          <w:sz w:val="20"/>
          <w:u w:val="single"/>
          <w:lang w:eastAsia="cs-CZ"/>
        </w:rPr>
        <w:t>Náklady komplexního systému třídění komunálního odpadu</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Náklady na směsný komunální odpad</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highlight w:val="yellow"/>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V tabulce a v grafu je patrný vliv poměru skládkování a energetické využití na výši celkové ceny za nakládání se směsným komunálním odpadem, včetně DPH. Zároveň je uveden i vývoj ceny bez započítané DPH a pro porovnání i hypotetický případ, kdyby byl od roku 1998 nulový nárůst inflace (k výpočtu byla pro jednotlivé roky použita průměrná roční míra inflace, zdroj: ČSÚ).</w:t>
      </w:r>
    </w:p>
    <w:p w:rsidR="004536C2" w:rsidRPr="004536C2" w:rsidRDefault="004536C2" w:rsidP="00FF4C4B">
      <w:pPr>
        <w:autoSpaceDE w:val="0"/>
        <w:autoSpaceDN w:val="0"/>
        <w:adjustRightInd w:val="0"/>
        <w:spacing w:after="0" w:line="240" w:lineRule="auto"/>
        <w:jc w:val="center"/>
        <w:rPr>
          <w:rFonts w:ascii="Arial" w:eastAsia="Times New Roman" w:hAnsi="Arial" w:cs="Arial"/>
          <w:sz w:val="16"/>
          <w:lang w:eastAsia="cs-CZ"/>
        </w:rPr>
      </w:pPr>
    </w:p>
    <w:p w:rsidR="00426396" w:rsidRDefault="00426396" w:rsidP="004536C2">
      <w:pPr>
        <w:autoSpaceDE w:val="0"/>
        <w:autoSpaceDN w:val="0"/>
        <w:adjustRightInd w:val="0"/>
        <w:spacing w:after="0" w:line="240" w:lineRule="auto"/>
      </w:pPr>
      <w:r>
        <w:rPr>
          <w:lang w:eastAsia="cs-CZ"/>
        </w:rPr>
        <w:fldChar w:fldCharType="begin"/>
      </w:r>
      <w:r>
        <w:rPr>
          <w:lang w:eastAsia="cs-CZ"/>
        </w:rPr>
        <w:instrText xml:space="preserve"> LINK Excel.Sheet.12 "Sešit1" "List1!R24C1:R45C7" \a \f 4 \h  \* MERGEFORMAT </w:instrText>
      </w:r>
      <w:r>
        <w:rPr>
          <w:lang w:eastAsia="cs-CZ"/>
        </w:rPr>
        <w:fldChar w:fldCharType="separate"/>
      </w:r>
    </w:p>
    <w:tbl>
      <w:tblPr>
        <w:tblpPr w:leftFromText="141" w:rightFromText="141" w:vertAnchor="text" w:tblpY="1"/>
        <w:tblOverlap w:val="never"/>
        <w:tblW w:w="7588" w:type="dxa"/>
        <w:tblCellMar>
          <w:left w:w="70" w:type="dxa"/>
          <w:right w:w="70" w:type="dxa"/>
        </w:tblCellMar>
        <w:tblLook w:val="04A0" w:firstRow="1" w:lastRow="0" w:firstColumn="1" w:lastColumn="0" w:noHBand="0" w:noVBand="1"/>
      </w:tblPr>
      <w:tblGrid>
        <w:gridCol w:w="1080"/>
        <w:gridCol w:w="1083"/>
        <w:gridCol w:w="1084"/>
        <w:gridCol w:w="1095"/>
        <w:gridCol w:w="1082"/>
        <w:gridCol w:w="1082"/>
        <w:gridCol w:w="1082"/>
      </w:tblGrid>
      <w:tr w:rsidR="00426396" w:rsidRPr="00426396" w:rsidTr="007D74E4">
        <w:trPr>
          <w:cantSplit/>
          <w:trHeight w:val="436"/>
        </w:trPr>
        <w:tc>
          <w:tcPr>
            <w:tcW w:w="1080" w:type="dxa"/>
            <w:vMerge w:val="restart"/>
            <w:tcBorders>
              <w:top w:val="single" w:sz="12" w:space="0" w:color="auto"/>
              <w:left w:val="single" w:sz="12" w:space="0" w:color="auto"/>
              <w:bottom w:val="single" w:sz="8" w:space="0" w:color="000000"/>
              <w:right w:val="single" w:sz="8"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lastRenderedPageBreak/>
              <w:t>rok</w:t>
            </w:r>
          </w:p>
        </w:tc>
        <w:tc>
          <w:tcPr>
            <w:tcW w:w="3262" w:type="dxa"/>
            <w:gridSpan w:val="3"/>
            <w:tcBorders>
              <w:top w:val="single" w:sz="12" w:space="0" w:color="auto"/>
              <w:left w:val="nil"/>
              <w:bottom w:val="single" w:sz="8" w:space="0" w:color="auto"/>
              <w:right w:val="single" w:sz="8" w:space="0" w:color="000000"/>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Množství směsného odpadu a způsob využití nebo odstranění</w:t>
            </w:r>
          </w:p>
        </w:tc>
        <w:tc>
          <w:tcPr>
            <w:tcW w:w="3246" w:type="dxa"/>
            <w:gridSpan w:val="3"/>
            <w:tcBorders>
              <w:top w:val="single" w:sz="12" w:space="0" w:color="auto"/>
              <w:left w:val="nil"/>
              <w:bottom w:val="single" w:sz="8" w:space="0" w:color="auto"/>
              <w:right w:val="single" w:sz="12"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 xml:space="preserve">náklady na svoz a odstranění směsného odpadu </w:t>
            </w:r>
          </w:p>
        </w:tc>
      </w:tr>
      <w:tr w:rsidR="009A49E8" w:rsidRPr="00426396" w:rsidTr="009A49E8">
        <w:trPr>
          <w:trHeight w:val="667"/>
        </w:trPr>
        <w:tc>
          <w:tcPr>
            <w:tcW w:w="1080" w:type="dxa"/>
            <w:vMerge/>
            <w:tcBorders>
              <w:top w:val="single" w:sz="12" w:space="0" w:color="auto"/>
              <w:left w:val="single" w:sz="12" w:space="0" w:color="auto"/>
              <w:bottom w:val="single" w:sz="8" w:space="0" w:color="000000"/>
              <w:right w:val="single" w:sz="8" w:space="0" w:color="auto"/>
            </w:tcBorders>
            <w:vAlign w:val="center"/>
            <w:hideMark/>
          </w:tcPr>
          <w:p w:rsidR="00426396" w:rsidRPr="00426396" w:rsidRDefault="00426396" w:rsidP="009A49E8">
            <w:pPr>
              <w:spacing w:after="0" w:line="240" w:lineRule="auto"/>
              <w:rPr>
                <w:rFonts w:ascii="Arial" w:eastAsia="Times New Roman" w:hAnsi="Arial" w:cs="Arial"/>
                <w:i/>
                <w:iCs/>
                <w:color w:val="000000"/>
                <w:sz w:val="18"/>
                <w:szCs w:val="18"/>
                <w:lang w:eastAsia="cs-CZ"/>
              </w:rPr>
            </w:pPr>
          </w:p>
        </w:tc>
        <w:tc>
          <w:tcPr>
            <w:tcW w:w="1083"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Směsný odpad celkem</w:t>
            </w:r>
          </w:p>
        </w:tc>
        <w:tc>
          <w:tcPr>
            <w:tcW w:w="1084"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energetické využití</w:t>
            </w:r>
          </w:p>
        </w:tc>
        <w:tc>
          <w:tcPr>
            <w:tcW w:w="1095"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skládkování</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včetně DPH</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bez DPH</w:t>
            </w:r>
          </w:p>
        </w:tc>
        <w:tc>
          <w:tcPr>
            <w:tcW w:w="1082" w:type="dxa"/>
            <w:tcBorders>
              <w:top w:val="nil"/>
              <w:left w:val="nil"/>
              <w:bottom w:val="single" w:sz="8" w:space="0" w:color="auto"/>
              <w:right w:val="single" w:sz="12"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bez DPH a bez inflace</w:t>
            </w:r>
          </w:p>
        </w:tc>
      </w:tr>
      <w:tr w:rsidR="00426396" w:rsidRPr="00426396" w:rsidTr="007D74E4">
        <w:trPr>
          <w:trHeight w:val="272"/>
        </w:trPr>
        <w:tc>
          <w:tcPr>
            <w:tcW w:w="1080" w:type="dxa"/>
            <w:vMerge/>
            <w:tcBorders>
              <w:top w:val="single" w:sz="12" w:space="0" w:color="auto"/>
              <w:left w:val="single" w:sz="12" w:space="0" w:color="auto"/>
              <w:bottom w:val="single" w:sz="8" w:space="0" w:color="000000"/>
              <w:right w:val="single" w:sz="8" w:space="0" w:color="auto"/>
            </w:tcBorders>
            <w:vAlign w:val="center"/>
            <w:hideMark/>
          </w:tcPr>
          <w:p w:rsidR="00426396" w:rsidRPr="00426396" w:rsidRDefault="00426396" w:rsidP="009A49E8">
            <w:pPr>
              <w:spacing w:after="0" w:line="240" w:lineRule="auto"/>
              <w:rPr>
                <w:rFonts w:ascii="Arial" w:eastAsia="Times New Roman" w:hAnsi="Arial" w:cs="Arial"/>
                <w:i/>
                <w:iCs/>
                <w:color w:val="000000"/>
                <w:sz w:val="18"/>
                <w:szCs w:val="18"/>
                <w:lang w:eastAsia="cs-CZ"/>
              </w:rPr>
            </w:pPr>
          </w:p>
        </w:tc>
        <w:tc>
          <w:tcPr>
            <w:tcW w:w="3262" w:type="dxa"/>
            <w:gridSpan w:val="3"/>
            <w:tcBorders>
              <w:top w:val="single" w:sz="8" w:space="0" w:color="auto"/>
              <w:left w:val="nil"/>
              <w:bottom w:val="single" w:sz="8" w:space="0" w:color="auto"/>
              <w:right w:val="single" w:sz="8" w:space="0" w:color="000000"/>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w:t>
            </w:r>
            <w:proofErr w:type="spellStart"/>
            <w:r w:rsidRPr="00426396">
              <w:rPr>
                <w:rFonts w:ascii="Arial" w:eastAsia="Times New Roman" w:hAnsi="Arial" w:cs="Arial"/>
                <w:i/>
                <w:iCs/>
                <w:color w:val="000000"/>
                <w:sz w:val="18"/>
                <w:szCs w:val="18"/>
                <w:lang w:eastAsia="cs-CZ"/>
              </w:rPr>
              <w:t>kt</w:t>
            </w:r>
            <w:proofErr w:type="spellEnd"/>
            <w:r w:rsidRPr="00426396">
              <w:rPr>
                <w:rFonts w:ascii="Arial" w:eastAsia="Times New Roman" w:hAnsi="Arial" w:cs="Arial"/>
                <w:i/>
                <w:iCs/>
                <w:color w:val="000000"/>
                <w:sz w:val="18"/>
                <w:szCs w:val="18"/>
                <w:lang w:eastAsia="cs-CZ"/>
              </w:rPr>
              <w:t>)</w:t>
            </w:r>
          </w:p>
        </w:tc>
        <w:tc>
          <w:tcPr>
            <w:tcW w:w="3246" w:type="dxa"/>
            <w:gridSpan w:val="3"/>
            <w:tcBorders>
              <w:top w:val="single" w:sz="8" w:space="0" w:color="auto"/>
              <w:left w:val="nil"/>
              <w:bottom w:val="single" w:sz="8" w:space="0" w:color="auto"/>
              <w:right w:val="single" w:sz="12" w:space="0" w:color="auto"/>
            </w:tcBorders>
            <w:shd w:val="clear" w:color="000000" w:fill="E0E0E0"/>
            <w:vAlign w:val="center"/>
            <w:hideMark/>
          </w:tcPr>
          <w:p w:rsidR="00426396" w:rsidRPr="00426396" w:rsidRDefault="00426396" w:rsidP="009A49E8">
            <w:pPr>
              <w:spacing w:after="0" w:line="240" w:lineRule="auto"/>
              <w:jc w:val="center"/>
              <w:rPr>
                <w:rFonts w:ascii="Arial" w:eastAsia="Times New Roman" w:hAnsi="Arial" w:cs="Arial"/>
                <w:i/>
                <w:iCs/>
                <w:color w:val="000000"/>
                <w:sz w:val="18"/>
                <w:szCs w:val="18"/>
                <w:lang w:eastAsia="cs-CZ"/>
              </w:rPr>
            </w:pPr>
            <w:r w:rsidRPr="00426396">
              <w:rPr>
                <w:rFonts w:ascii="Arial" w:eastAsia="Times New Roman" w:hAnsi="Arial" w:cs="Arial"/>
                <w:i/>
                <w:iCs/>
                <w:color w:val="000000"/>
                <w:sz w:val="18"/>
                <w:szCs w:val="18"/>
                <w:lang w:eastAsia="cs-CZ"/>
              </w:rPr>
              <w:t>(mil. Kč)</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1998</w:t>
            </w:r>
          </w:p>
        </w:tc>
        <w:tc>
          <w:tcPr>
            <w:tcW w:w="1083"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210,5</w:t>
            </w:r>
          </w:p>
        </w:tc>
        <w:tc>
          <w:tcPr>
            <w:tcW w:w="1084"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129,1</w:t>
            </w:r>
          </w:p>
        </w:tc>
        <w:tc>
          <w:tcPr>
            <w:tcW w:w="1095"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81,4</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396,7</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376,9</w:t>
            </w:r>
          </w:p>
        </w:tc>
        <w:tc>
          <w:tcPr>
            <w:tcW w:w="1082" w:type="dxa"/>
            <w:tcBorders>
              <w:top w:val="nil"/>
              <w:left w:val="nil"/>
              <w:bottom w:val="single" w:sz="8" w:space="0" w:color="auto"/>
              <w:right w:val="single" w:sz="12"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336,5</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1999</w:t>
            </w:r>
          </w:p>
        </w:tc>
        <w:tc>
          <w:tcPr>
            <w:tcW w:w="1083"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208,6</w:t>
            </w:r>
          </w:p>
        </w:tc>
        <w:tc>
          <w:tcPr>
            <w:tcW w:w="1084"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193,6</w:t>
            </w:r>
          </w:p>
        </w:tc>
        <w:tc>
          <w:tcPr>
            <w:tcW w:w="1095"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15</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501,6</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476,5</w:t>
            </w:r>
          </w:p>
        </w:tc>
        <w:tc>
          <w:tcPr>
            <w:tcW w:w="1082" w:type="dxa"/>
            <w:tcBorders>
              <w:top w:val="nil"/>
              <w:left w:val="nil"/>
              <w:bottom w:val="single" w:sz="8" w:space="0" w:color="auto"/>
              <w:right w:val="single" w:sz="12"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415,5</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2000</w:t>
            </w:r>
          </w:p>
        </w:tc>
        <w:tc>
          <w:tcPr>
            <w:tcW w:w="1083"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209,9</w:t>
            </w:r>
          </w:p>
        </w:tc>
        <w:tc>
          <w:tcPr>
            <w:tcW w:w="1084"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166,8</w:t>
            </w:r>
          </w:p>
        </w:tc>
        <w:tc>
          <w:tcPr>
            <w:tcW w:w="1095"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43,1</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505</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479,8</w:t>
            </w:r>
          </w:p>
        </w:tc>
        <w:tc>
          <w:tcPr>
            <w:tcW w:w="1082" w:type="dxa"/>
            <w:tcBorders>
              <w:top w:val="nil"/>
              <w:left w:val="nil"/>
              <w:bottom w:val="single" w:sz="8" w:space="0" w:color="auto"/>
              <w:right w:val="single" w:sz="12"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399,7</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2001</w:t>
            </w:r>
          </w:p>
        </w:tc>
        <w:tc>
          <w:tcPr>
            <w:tcW w:w="1083"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211,8</w:t>
            </w:r>
          </w:p>
        </w:tc>
        <w:tc>
          <w:tcPr>
            <w:tcW w:w="1084"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196,3</w:t>
            </w:r>
          </w:p>
        </w:tc>
        <w:tc>
          <w:tcPr>
            <w:tcW w:w="1095"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15,5</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532,4</w:t>
            </w:r>
          </w:p>
        </w:tc>
        <w:tc>
          <w:tcPr>
            <w:tcW w:w="1082" w:type="dxa"/>
            <w:tcBorders>
              <w:top w:val="nil"/>
              <w:left w:val="nil"/>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505,8</w:t>
            </w:r>
          </w:p>
        </w:tc>
        <w:tc>
          <w:tcPr>
            <w:tcW w:w="1082" w:type="dxa"/>
            <w:tcBorders>
              <w:top w:val="nil"/>
              <w:left w:val="nil"/>
              <w:bottom w:val="single" w:sz="8" w:space="0" w:color="auto"/>
              <w:right w:val="single" w:sz="12"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397,6</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2002</w:t>
            </w:r>
          </w:p>
        </w:tc>
        <w:tc>
          <w:tcPr>
            <w:tcW w:w="1083"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226,7</w:t>
            </w:r>
          </w:p>
        </w:tc>
        <w:tc>
          <w:tcPr>
            <w:tcW w:w="1084"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201,1</w:t>
            </w:r>
          </w:p>
        </w:tc>
        <w:tc>
          <w:tcPr>
            <w:tcW w:w="1095"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25,6</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563,7</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535,5</w:t>
            </w:r>
          </w:p>
        </w:tc>
        <w:tc>
          <w:tcPr>
            <w:tcW w:w="1082" w:type="dxa"/>
            <w:tcBorders>
              <w:top w:val="nil"/>
              <w:left w:val="nil"/>
              <w:bottom w:val="single" w:sz="8" w:space="0" w:color="auto"/>
              <w:right w:val="single" w:sz="12"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411,2</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2003</w:t>
            </w:r>
          </w:p>
        </w:tc>
        <w:tc>
          <w:tcPr>
            <w:tcW w:w="1083"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230,2</w:t>
            </w:r>
          </w:p>
        </w:tc>
        <w:tc>
          <w:tcPr>
            <w:tcW w:w="1084"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203,6</w:t>
            </w:r>
          </w:p>
        </w:tc>
        <w:tc>
          <w:tcPr>
            <w:tcW w:w="1095"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26,6</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583,8</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554,6</w:t>
            </w:r>
          </w:p>
        </w:tc>
        <w:tc>
          <w:tcPr>
            <w:tcW w:w="1082" w:type="dxa"/>
            <w:tcBorders>
              <w:top w:val="nil"/>
              <w:left w:val="nil"/>
              <w:bottom w:val="single" w:sz="8" w:space="0" w:color="auto"/>
              <w:right w:val="single" w:sz="12"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420,4</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2004</w:t>
            </w:r>
          </w:p>
        </w:tc>
        <w:tc>
          <w:tcPr>
            <w:tcW w:w="1083"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231</w:t>
            </w:r>
          </w:p>
        </w:tc>
        <w:tc>
          <w:tcPr>
            <w:tcW w:w="1084"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206,2</w:t>
            </w:r>
          </w:p>
        </w:tc>
        <w:tc>
          <w:tcPr>
            <w:tcW w:w="1095"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24,8</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644,7</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531,2</w:t>
            </w:r>
          </w:p>
        </w:tc>
        <w:tc>
          <w:tcPr>
            <w:tcW w:w="1082" w:type="dxa"/>
            <w:tcBorders>
              <w:top w:val="nil"/>
              <w:left w:val="nil"/>
              <w:bottom w:val="single" w:sz="8" w:space="0" w:color="auto"/>
              <w:right w:val="single" w:sz="12"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387,8</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2005</w:t>
            </w:r>
          </w:p>
        </w:tc>
        <w:tc>
          <w:tcPr>
            <w:tcW w:w="1083"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234,7</w:t>
            </w:r>
          </w:p>
        </w:tc>
        <w:tc>
          <w:tcPr>
            <w:tcW w:w="1084"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201,2</w:t>
            </w:r>
          </w:p>
        </w:tc>
        <w:tc>
          <w:tcPr>
            <w:tcW w:w="1095"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33,5</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697,8</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586,3</w:t>
            </w:r>
          </w:p>
        </w:tc>
        <w:tc>
          <w:tcPr>
            <w:tcW w:w="1082" w:type="dxa"/>
            <w:tcBorders>
              <w:top w:val="nil"/>
              <w:left w:val="nil"/>
              <w:bottom w:val="single" w:sz="8" w:space="0" w:color="auto"/>
              <w:right w:val="single" w:sz="12"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417,2</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2006</w:t>
            </w:r>
          </w:p>
        </w:tc>
        <w:tc>
          <w:tcPr>
            <w:tcW w:w="1083"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236,2</w:t>
            </w:r>
          </w:p>
        </w:tc>
        <w:tc>
          <w:tcPr>
            <w:tcW w:w="1084"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200,5</w:t>
            </w:r>
          </w:p>
        </w:tc>
        <w:tc>
          <w:tcPr>
            <w:tcW w:w="1095"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35,7</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717,8</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603,2</w:t>
            </w:r>
          </w:p>
        </w:tc>
        <w:tc>
          <w:tcPr>
            <w:tcW w:w="1082" w:type="dxa"/>
            <w:tcBorders>
              <w:top w:val="nil"/>
              <w:left w:val="nil"/>
              <w:bottom w:val="single" w:sz="8" w:space="0" w:color="auto"/>
              <w:right w:val="single" w:sz="12"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421,3</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2007</w:t>
            </w:r>
          </w:p>
        </w:tc>
        <w:tc>
          <w:tcPr>
            <w:tcW w:w="1083"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240,3</w:t>
            </w:r>
          </w:p>
        </w:tc>
        <w:tc>
          <w:tcPr>
            <w:tcW w:w="1084"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197,3</w:t>
            </w:r>
          </w:p>
        </w:tc>
        <w:tc>
          <w:tcPr>
            <w:tcW w:w="1095"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43</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740,9</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622,6</w:t>
            </w:r>
          </w:p>
        </w:tc>
        <w:tc>
          <w:tcPr>
            <w:tcW w:w="1082" w:type="dxa"/>
            <w:tcBorders>
              <w:top w:val="nil"/>
              <w:left w:val="nil"/>
              <w:bottom w:val="single" w:sz="8" w:space="0" w:color="auto"/>
              <w:right w:val="single" w:sz="12"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424,3</w:t>
            </w:r>
          </w:p>
        </w:tc>
      </w:tr>
      <w:tr w:rsidR="009A49E8"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2008</w:t>
            </w:r>
          </w:p>
        </w:tc>
        <w:tc>
          <w:tcPr>
            <w:tcW w:w="1083"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243,1</w:t>
            </w:r>
          </w:p>
        </w:tc>
        <w:tc>
          <w:tcPr>
            <w:tcW w:w="1084"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190,8</w:t>
            </w:r>
          </w:p>
        </w:tc>
        <w:tc>
          <w:tcPr>
            <w:tcW w:w="1095"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52,3</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767,4</w:t>
            </w:r>
          </w:p>
        </w:tc>
        <w:tc>
          <w:tcPr>
            <w:tcW w:w="1082" w:type="dxa"/>
            <w:tcBorders>
              <w:top w:val="nil"/>
              <w:left w:val="nil"/>
              <w:bottom w:val="single" w:sz="8" w:space="0" w:color="auto"/>
              <w:right w:val="single" w:sz="8"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644,9</w:t>
            </w:r>
          </w:p>
        </w:tc>
        <w:tc>
          <w:tcPr>
            <w:tcW w:w="1082" w:type="dxa"/>
            <w:tcBorders>
              <w:top w:val="nil"/>
              <w:left w:val="nil"/>
              <w:bottom w:val="single" w:sz="8" w:space="0" w:color="auto"/>
              <w:right w:val="single" w:sz="12" w:space="0" w:color="auto"/>
            </w:tcBorders>
            <w:shd w:val="clear" w:color="000000" w:fill="FFFFFF"/>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427,6</w:t>
            </w:r>
          </w:p>
        </w:tc>
      </w:tr>
      <w:tr w:rsidR="00426396"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2009</w:t>
            </w:r>
          </w:p>
        </w:tc>
        <w:tc>
          <w:tcPr>
            <w:tcW w:w="1083"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244,6</w:t>
            </w:r>
          </w:p>
        </w:tc>
        <w:tc>
          <w:tcPr>
            <w:tcW w:w="1084"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191,2</w:t>
            </w:r>
          </w:p>
        </w:tc>
        <w:tc>
          <w:tcPr>
            <w:tcW w:w="1095"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53,4</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735</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667,7</w:t>
            </w:r>
          </w:p>
        </w:tc>
        <w:tc>
          <w:tcPr>
            <w:tcW w:w="1082" w:type="dxa"/>
            <w:tcBorders>
              <w:top w:val="nil"/>
              <w:left w:val="nil"/>
              <w:bottom w:val="single" w:sz="8"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415,8</w:t>
            </w:r>
          </w:p>
        </w:tc>
      </w:tr>
      <w:tr w:rsidR="00426396"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0E0E0"/>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2010</w:t>
            </w:r>
          </w:p>
        </w:tc>
        <w:tc>
          <w:tcPr>
            <w:tcW w:w="1083"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245,1</w:t>
            </w:r>
          </w:p>
        </w:tc>
        <w:tc>
          <w:tcPr>
            <w:tcW w:w="1084"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200,4</w:t>
            </w:r>
          </w:p>
        </w:tc>
        <w:tc>
          <w:tcPr>
            <w:tcW w:w="1095"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44,7</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747,3</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679,3</w:t>
            </w:r>
          </w:p>
        </w:tc>
        <w:tc>
          <w:tcPr>
            <w:tcW w:w="1082" w:type="dxa"/>
            <w:tcBorders>
              <w:top w:val="nil"/>
              <w:left w:val="nil"/>
              <w:bottom w:val="single" w:sz="8"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418,9</w:t>
            </w:r>
          </w:p>
        </w:tc>
      </w:tr>
      <w:tr w:rsidR="00426396"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6E6E6"/>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2011</w:t>
            </w:r>
          </w:p>
        </w:tc>
        <w:tc>
          <w:tcPr>
            <w:tcW w:w="1083"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246,8</w:t>
            </w:r>
          </w:p>
        </w:tc>
        <w:tc>
          <w:tcPr>
            <w:tcW w:w="1084"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220,6</w:t>
            </w:r>
          </w:p>
        </w:tc>
        <w:tc>
          <w:tcPr>
            <w:tcW w:w="1095"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26,2</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760</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690,9</w:t>
            </w:r>
          </w:p>
        </w:tc>
        <w:tc>
          <w:tcPr>
            <w:tcW w:w="1082" w:type="dxa"/>
            <w:tcBorders>
              <w:top w:val="nil"/>
              <w:left w:val="nil"/>
              <w:bottom w:val="single" w:sz="8"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419,7</w:t>
            </w:r>
          </w:p>
        </w:tc>
      </w:tr>
      <w:tr w:rsidR="00426396"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6E6E6"/>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2012</w:t>
            </w:r>
          </w:p>
        </w:tc>
        <w:tc>
          <w:tcPr>
            <w:tcW w:w="1083"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247,3</w:t>
            </w:r>
          </w:p>
        </w:tc>
        <w:tc>
          <w:tcPr>
            <w:tcW w:w="1084"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226,3</w:t>
            </w:r>
          </w:p>
        </w:tc>
        <w:tc>
          <w:tcPr>
            <w:tcW w:w="1095"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21</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804,6</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705,8</w:t>
            </w:r>
          </w:p>
        </w:tc>
        <w:tc>
          <w:tcPr>
            <w:tcW w:w="1082" w:type="dxa"/>
            <w:tcBorders>
              <w:top w:val="nil"/>
              <w:left w:val="nil"/>
              <w:bottom w:val="single" w:sz="8"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420,8</w:t>
            </w:r>
          </w:p>
        </w:tc>
      </w:tr>
      <w:tr w:rsidR="00426396"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6E6E6"/>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2013</w:t>
            </w:r>
          </w:p>
        </w:tc>
        <w:tc>
          <w:tcPr>
            <w:tcW w:w="1083"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246,3</w:t>
            </w:r>
          </w:p>
        </w:tc>
        <w:tc>
          <w:tcPr>
            <w:tcW w:w="1084"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222,1</w:t>
            </w:r>
          </w:p>
        </w:tc>
        <w:tc>
          <w:tcPr>
            <w:tcW w:w="1095"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24,2</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808,6</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703,1</w:t>
            </w:r>
          </w:p>
        </w:tc>
        <w:tc>
          <w:tcPr>
            <w:tcW w:w="1082" w:type="dxa"/>
            <w:tcBorders>
              <w:top w:val="nil"/>
              <w:left w:val="nil"/>
              <w:bottom w:val="single" w:sz="8"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405,3</w:t>
            </w:r>
          </w:p>
        </w:tc>
      </w:tr>
      <w:tr w:rsidR="00426396"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6E6E6"/>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2014</w:t>
            </w:r>
          </w:p>
        </w:tc>
        <w:tc>
          <w:tcPr>
            <w:tcW w:w="1083"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246,2</w:t>
            </w:r>
          </w:p>
        </w:tc>
        <w:tc>
          <w:tcPr>
            <w:tcW w:w="1084"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234,8</w:t>
            </w:r>
          </w:p>
        </w:tc>
        <w:tc>
          <w:tcPr>
            <w:tcW w:w="1095"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11,4</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817,9</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711,3</w:t>
            </w:r>
          </w:p>
        </w:tc>
        <w:tc>
          <w:tcPr>
            <w:tcW w:w="1082" w:type="dxa"/>
            <w:tcBorders>
              <w:top w:val="nil"/>
              <w:left w:val="nil"/>
              <w:bottom w:val="single" w:sz="8"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404,9</w:t>
            </w:r>
          </w:p>
        </w:tc>
      </w:tr>
      <w:tr w:rsidR="00426396" w:rsidRPr="00426396" w:rsidTr="009A49E8">
        <w:trPr>
          <w:trHeight w:val="272"/>
        </w:trPr>
        <w:tc>
          <w:tcPr>
            <w:tcW w:w="1080" w:type="dxa"/>
            <w:tcBorders>
              <w:top w:val="nil"/>
              <w:left w:val="single" w:sz="12" w:space="0" w:color="auto"/>
              <w:bottom w:val="single" w:sz="8" w:space="0" w:color="auto"/>
              <w:right w:val="single" w:sz="8" w:space="0" w:color="auto"/>
            </w:tcBorders>
            <w:shd w:val="clear" w:color="000000" w:fill="E6E6E6"/>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2015</w:t>
            </w:r>
          </w:p>
        </w:tc>
        <w:tc>
          <w:tcPr>
            <w:tcW w:w="1083"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247,2</w:t>
            </w:r>
          </w:p>
        </w:tc>
        <w:tc>
          <w:tcPr>
            <w:tcW w:w="1084"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243,6</w:t>
            </w:r>
          </w:p>
        </w:tc>
        <w:tc>
          <w:tcPr>
            <w:tcW w:w="1095"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3,6</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808,7</w:t>
            </w:r>
          </w:p>
        </w:tc>
        <w:tc>
          <w:tcPr>
            <w:tcW w:w="1082" w:type="dxa"/>
            <w:tcBorders>
              <w:top w:val="nil"/>
              <w:left w:val="nil"/>
              <w:bottom w:val="single" w:sz="8"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703,2</w:t>
            </w:r>
          </w:p>
        </w:tc>
        <w:tc>
          <w:tcPr>
            <w:tcW w:w="1082" w:type="dxa"/>
            <w:tcBorders>
              <w:top w:val="nil"/>
              <w:left w:val="nil"/>
              <w:bottom w:val="single" w:sz="8"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403,7</w:t>
            </w:r>
          </w:p>
        </w:tc>
      </w:tr>
      <w:tr w:rsidR="00426396" w:rsidRPr="00426396" w:rsidTr="009A49E8">
        <w:trPr>
          <w:trHeight w:val="272"/>
        </w:trPr>
        <w:tc>
          <w:tcPr>
            <w:tcW w:w="1080" w:type="dxa"/>
            <w:tcBorders>
              <w:top w:val="nil"/>
              <w:left w:val="single" w:sz="12" w:space="0" w:color="auto"/>
              <w:bottom w:val="single" w:sz="12" w:space="0" w:color="auto"/>
              <w:right w:val="single" w:sz="8" w:space="0" w:color="auto"/>
            </w:tcBorders>
            <w:shd w:val="clear" w:color="000000" w:fill="E6E6E6"/>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2016</w:t>
            </w:r>
          </w:p>
        </w:tc>
        <w:tc>
          <w:tcPr>
            <w:tcW w:w="1083" w:type="dxa"/>
            <w:tcBorders>
              <w:top w:val="nil"/>
              <w:left w:val="nil"/>
              <w:bottom w:val="single" w:sz="12"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249,3</w:t>
            </w:r>
          </w:p>
        </w:tc>
        <w:tc>
          <w:tcPr>
            <w:tcW w:w="1084" w:type="dxa"/>
            <w:tcBorders>
              <w:top w:val="nil"/>
              <w:left w:val="nil"/>
              <w:bottom w:val="single" w:sz="12"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236,8</w:t>
            </w:r>
          </w:p>
        </w:tc>
        <w:tc>
          <w:tcPr>
            <w:tcW w:w="1095" w:type="dxa"/>
            <w:tcBorders>
              <w:top w:val="nil"/>
              <w:left w:val="nil"/>
              <w:bottom w:val="single" w:sz="12"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12,5</w:t>
            </w:r>
          </w:p>
        </w:tc>
        <w:tc>
          <w:tcPr>
            <w:tcW w:w="1082" w:type="dxa"/>
            <w:tcBorders>
              <w:top w:val="nil"/>
              <w:left w:val="nil"/>
              <w:bottom w:val="single" w:sz="12"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850,5</w:t>
            </w:r>
          </w:p>
        </w:tc>
        <w:tc>
          <w:tcPr>
            <w:tcW w:w="1082" w:type="dxa"/>
            <w:tcBorders>
              <w:top w:val="nil"/>
              <w:left w:val="nil"/>
              <w:bottom w:val="single" w:sz="12" w:space="0" w:color="auto"/>
              <w:right w:val="single" w:sz="8"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740,3</w:t>
            </w:r>
          </w:p>
        </w:tc>
        <w:tc>
          <w:tcPr>
            <w:tcW w:w="1082" w:type="dxa"/>
            <w:tcBorders>
              <w:top w:val="nil"/>
              <w:left w:val="nil"/>
              <w:bottom w:val="single" w:sz="12" w:space="0" w:color="auto"/>
              <w:right w:val="single" w:sz="12" w:space="0" w:color="auto"/>
            </w:tcBorders>
            <w:shd w:val="clear" w:color="auto" w:fill="auto"/>
            <w:vAlign w:val="center"/>
            <w:hideMark/>
          </w:tcPr>
          <w:p w:rsidR="00426396" w:rsidRPr="00426396" w:rsidRDefault="00426396" w:rsidP="009A49E8">
            <w:pPr>
              <w:spacing w:after="0" w:line="240" w:lineRule="auto"/>
              <w:jc w:val="right"/>
              <w:rPr>
                <w:rFonts w:ascii="Arial" w:eastAsia="Times New Roman" w:hAnsi="Arial" w:cs="Arial"/>
                <w:color w:val="000000"/>
                <w:sz w:val="18"/>
                <w:szCs w:val="18"/>
                <w:lang w:eastAsia="cs-CZ"/>
              </w:rPr>
            </w:pPr>
            <w:r w:rsidRPr="00426396">
              <w:rPr>
                <w:rFonts w:ascii="Arial" w:eastAsia="Times New Roman" w:hAnsi="Arial" w:cs="Arial"/>
                <w:color w:val="000000"/>
                <w:sz w:val="18"/>
                <w:szCs w:val="18"/>
                <w:lang w:eastAsia="cs-CZ"/>
              </w:rPr>
              <w:t>406,6</w:t>
            </w:r>
          </w:p>
        </w:tc>
      </w:tr>
    </w:tbl>
    <w:p w:rsidR="00426396" w:rsidRPr="004536C2" w:rsidRDefault="00426396" w:rsidP="004536C2">
      <w:pPr>
        <w:autoSpaceDE w:val="0"/>
        <w:autoSpaceDN w:val="0"/>
        <w:adjustRightInd w:val="0"/>
        <w:spacing w:after="0" w:line="240" w:lineRule="auto"/>
        <w:rPr>
          <w:rFonts w:ascii="Arial" w:eastAsia="Times New Roman" w:hAnsi="Arial" w:cs="Arial"/>
          <w:sz w:val="18"/>
          <w:szCs w:val="16"/>
          <w:lang w:eastAsia="cs-CZ"/>
        </w:rPr>
      </w:pPr>
      <w:r>
        <w:rPr>
          <w:rFonts w:ascii="Arial" w:eastAsia="Times New Roman" w:hAnsi="Arial" w:cs="Arial"/>
          <w:sz w:val="18"/>
          <w:szCs w:val="16"/>
          <w:lang w:eastAsia="cs-CZ"/>
        </w:rPr>
        <w:fldChar w:fldCharType="end"/>
      </w:r>
      <w:bookmarkStart w:id="0" w:name="_GoBack"/>
      <w:bookmarkEnd w:id="0"/>
      <w:r w:rsidR="009A49E8">
        <w:rPr>
          <w:rFonts w:ascii="Arial" w:eastAsia="Times New Roman" w:hAnsi="Arial" w:cs="Arial"/>
          <w:sz w:val="18"/>
          <w:szCs w:val="16"/>
          <w:lang w:eastAsia="cs-CZ"/>
        </w:rPr>
        <w:br w:type="textWrapping" w:clear="all"/>
      </w:r>
    </w:p>
    <w:p w:rsidR="004536C2" w:rsidRPr="004536C2" w:rsidRDefault="004536C2" w:rsidP="004536C2">
      <w:pPr>
        <w:autoSpaceDE w:val="0"/>
        <w:autoSpaceDN w:val="0"/>
        <w:adjustRightInd w:val="0"/>
        <w:spacing w:after="0" w:line="240" w:lineRule="auto"/>
        <w:rPr>
          <w:rFonts w:ascii="Arial" w:eastAsia="Times New Roman" w:hAnsi="Arial" w:cs="Arial"/>
          <w:bCs/>
          <w:sz w:val="20"/>
          <w:szCs w:val="20"/>
          <w:lang w:eastAsia="cs-CZ"/>
        </w:rPr>
      </w:pPr>
      <w:r w:rsidRPr="004536C2">
        <w:rPr>
          <w:rFonts w:ascii="Arial" w:eastAsia="Times New Roman" w:hAnsi="Arial" w:cs="Arial"/>
          <w:sz w:val="20"/>
          <w:szCs w:val="20"/>
          <w:lang w:eastAsia="cs-CZ"/>
        </w:rPr>
        <w:t>Vývoj nákladů na SKO v letech 1998-</w:t>
      </w:r>
      <w:r w:rsidRPr="004536C2">
        <w:rPr>
          <w:rFonts w:ascii="Arial" w:eastAsia="Times New Roman" w:hAnsi="Arial" w:cs="Arial"/>
          <w:bCs/>
          <w:sz w:val="20"/>
          <w:szCs w:val="20"/>
          <w:lang w:eastAsia="cs-CZ"/>
        </w:rPr>
        <w:t>2016</w:t>
      </w:r>
    </w:p>
    <w:p w:rsidR="00746856" w:rsidRDefault="00746856"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Pr>
          <w:noProof/>
          <w:lang w:eastAsia="cs-CZ"/>
        </w:rPr>
        <w:drawing>
          <wp:inline distT="0" distB="0" distL="0" distR="0" wp14:anchorId="6FDA4490" wp14:editId="235E6757">
            <wp:extent cx="5760720" cy="2614295"/>
            <wp:effectExtent l="0" t="0" r="11430" b="14605"/>
            <wp:docPr id="4" name="Graf 4" title="mil. KČ"/>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46856" w:rsidRDefault="00746856"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Celkové náklady</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tbl>
      <w:tblPr>
        <w:tblW w:w="9090" w:type="dxa"/>
        <w:tblInd w:w="55" w:type="dxa"/>
        <w:tblCellMar>
          <w:left w:w="70" w:type="dxa"/>
          <w:right w:w="70" w:type="dxa"/>
        </w:tblCellMar>
        <w:tblLook w:val="04A0" w:firstRow="1" w:lastRow="0" w:firstColumn="1" w:lastColumn="0" w:noHBand="0" w:noVBand="1"/>
      </w:tblPr>
      <w:tblGrid>
        <w:gridCol w:w="785"/>
        <w:gridCol w:w="1064"/>
        <w:gridCol w:w="1015"/>
        <w:gridCol w:w="981"/>
        <w:gridCol w:w="1159"/>
        <w:gridCol w:w="1000"/>
        <w:gridCol w:w="785"/>
        <w:gridCol w:w="785"/>
        <w:gridCol w:w="1521"/>
      </w:tblGrid>
      <w:tr w:rsidR="004536C2" w:rsidRPr="004536C2" w:rsidTr="00C26331">
        <w:trPr>
          <w:trHeight w:val="349"/>
        </w:trPr>
        <w:tc>
          <w:tcPr>
            <w:tcW w:w="9090"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náklady v tis. Kč</w:t>
            </w:r>
          </w:p>
        </w:tc>
      </w:tr>
      <w:tr w:rsidR="00694188" w:rsidRPr="004536C2" w:rsidTr="00C26331">
        <w:trPr>
          <w:trHeight w:val="431"/>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w:t>
            </w: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tříděný sběr celkem</w:t>
            </w:r>
            <w:r w:rsidRPr="004536C2">
              <w:rPr>
                <w:rFonts w:ascii="Arial" w:eastAsia="Times New Roman" w:hAnsi="Arial" w:cs="Arial"/>
                <w:b/>
                <w:bCs/>
                <w:color w:val="000000"/>
                <w:sz w:val="18"/>
                <w:szCs w:val="18"/>
                <w:lang w:eastAsia="cs-CZ"/>
              </w:rPr>
              <w:t xml:space="preserve"> </w:t>
            </w:r>
          </w:p>
        </w:tc>
        <w:tc>
          <w:tcPr>
            <w:tcW w:w="1015"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xml:space="preserve">směsný </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nebezpečný odpad</w:t>
            </w:r>
          </w:p>
        </w:tc>
        <w:tc>
          <w:tcPr>
            <w:tcW w:w="1000"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tc>
        <w:tc>
          <w:tcPr>
            <w:tcW w:w="785"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xml:space="preserve">sběrné </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1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C26331">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w:t>
            </w:r>
          </w:p>
        </w:tc>
        <w:tc>
          <w:tcPr>
            <w:tcW w:w="981"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odpad</w:t>
            </w:r>
          </w:p>
        </w:tc>
        <w:tc>
          <w:tcPr>
            <w:tcW w:w="1159"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511" w:type="dxa"/>
            <w:vMerge/>
            <w:tcBorders>
              <w:top w:val="nil"/>
              <w:left w:val="single" w:sz="8" w:space="0" w:color="auto"/>
              <w:bottom w:val="single" w:sz="8" w:space="0" w:color="000000"/>
              <w:right w:val="single" w:sz="12" w:space="0" w:color="auto"/>
            </w:tcBorders>
            <w:vAlign w:val="center"/>
            <w:hideMark/>
          </w:tcPr>
          <w:p w:rsidR="004536C2" w:rsidRPr="004536C2" w:rsidRDefault="004536C2" w:rsidP="004536C2">
            <w:pPr>
              <w:spacing w:after="0" w:line="240" w:lineRule="auto"/>
              <w:rPr>
                <w:rFonts w:ascii="Arial" w:eastAsia="Times New Roman" w:hAnsi="Arial" w:cs="Arial"/>
                <w:b/>
                <w:bCs/>
                <w:color w:val="000000"/>
                <w:sz w:val="18"/>
                <w:szCs w:val="18"/>
                <w:lang w:eastAsia="cs-CZ"/>
              </w:rPr>
            </w:pPr>
          </w:p>
        </w:tc>
      </w:tr>
      <w:tr w:rsidR="00C26331" w:rsidRPr="004536C2" w:rsidTr="00C26331">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lastRenderedPageBreak/>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321 842</w:t>
            </w:r>
            <w:r w:rsidRPr="004536C2">
              <w:rPr>
                <w:rFonts w:ascii="Arial" w:eastAsia="Times New Roman" w:hAnsi="Arial" w:cs="Arial"/>
                <w:color w:val="000000"/>
                <w:sz w:val="18"/>
                <w:szCs w:val="18"/>
                <w:vertAlign w:val="superscript"/>
                <w:lang w:eastAsia="cs-CZ"/>
              </w:rPr>
              <w:footnoteReference w:id="1"/>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20 644</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808 534</w:t>
            </w:r>
          </w:p>
        </w:tc>
        <w:tc>
          <w:tcPr>
            <w:tcW w:w="1159"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7 523</w:t>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2 151</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59 900</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134</w:t>
            </w:r>
          </w:p>
        </w:tc>
        <w:tc>
          <w:tcPr>
            <w:tcW w:w="151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1 220 727</w:t>
            </w:r>
          </w:p>
        </w:tc>
      </w:tr>
      <w:tr w:rsidR="00C26331" w:rsidRPr="004536C2" w:rsidTr="00C26331">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334 967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18 993</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818 006</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5 796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1 396</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64 393</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187</w:t>
            </w:r>
          </w:p>
        </w:tc>
        <w:tc>
          <w:tcPr>
            <w:tcW w:w="151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1 243 739</w:t>
            </w:r>
          </w:p>
        </w:tc>
      </w:tr>
      <w:tr w:rsidR="00C26331" w:rsidRPr="004536C2" w:rsidTr="00C26331">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321 227</w:t>
            </w:r>
          </w:p>
        </w:tc>
        <w:tc>
          <w:tcPr>
            <w:tcW w:w="101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16 616</w:t>
            </w:r>
          </w:p>
        </w:tc>
        <w:tc>
          <w:tcPr>
            <w:tcW w:w="981"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808 704</w:t>
            </w:r>
          </w:p>
        </w:tc>
        <w:tc>
          <w:tcPr>
            <w:tcW w:w="1159"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5 469</w:t>
            </w:r>
          </w:p>
        </w:tc>
        <w:tc>
          <w:tcPr>
            <w:tcW w:w="1000"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1 360</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65 139</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p>
        </w:tc>
        <w:tc>
          <w:tcPr>
            <w:tcW w:w="1511" w:type="dxa"/>
            <w:tcBorders>
              <w:top w:val="single" w:sz="8" w:space="0" w:color="auto"/>
              <w:left w:val="nil"/>
              <w:bottom w:val="single" w:sz="4" w:space="0" w:color="auto"/>
              <w:right w:val="single" w:sz="12"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1 218 515</w:t>
            </w:r>
          </w:p>
        </w:tc>
      </w:tr>
      <w:tr w:rsidR="00C26331" w:rsidRPr="004536C2" w:rsidTr="00C26331">
        <w:trPr>
          <w:trHeight w:val="240"/>
        </w:trPr>
        <w:tc>
          <w:tcPr>
            <w:tcW w:w="785" w:type="dxa"/>
            <w:tcBorders>
              <w:top w:val="single" w:sz="4" w:space="0" w:color="auto"/>
              <w:left w:val="single" w:sz="12" w:space="0" w:color="auto"/>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4"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365 076</w:t>
            </w:r>
          </w:p>
        </w:tc>
        <w:tc>
          <w:tcPr>
            <w:tcW w:w="1015" w:type="dxa"/>
            <w:tcBorders>
              <w:top w:val="single" w:sz="4"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15 718</w:t>
            </w:r>
          </w:p>
        </w:tc>
        <w:tc>
          <w:tcPr>
            <w:tcW w:w="981" w:type="dxa"/>
            <w:tcBorders>
              <w:top w:val="single" w:sz="4"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864 581</w:t>
            </w:r>
          </w:p>
        </w:tc>
        <w:tc>
          <w:tcPr>
            <w:tcW w:w="1159" w:type="dxa"/>
            <w:tcBorders>
              <w:top w:val="single" w:sz="4"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5 541</w:t>
            </w:r>
          </w:p>
        </w:tc>
        <w:tc>
          <w:tcPr>
            <w:tcW w:w="1000" w:type="dxa"/>
            <w:tcBorders>
              <w:top w:val="single" w:sz="4"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3 617</w:t>
            </w:r>
          </w:p>
        </w:tc>
        <w:tc>
          <w:tcPr>
            <w:tcW w:w="785" w:type="dxa"/>
            <w:tcBorders>
              <w:top w:val="single" w:sz="4"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66 536</w:t>
            </w:r>
          </w:p>
        </w:tc>
        <w:tc>
          <w:tcPr>
            <w:tcW w:w="785" w:type="dxa"/>
            <w:tcBorders>
              <w:top w:val="single" w:sz="4"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11" w:type="dxa"/>
            <w:tcBorders>
              <w:top w:val="single" w:sz="4" w:space="0" w:color="auto"/>
              <w:left w:val="nil"/>
              <w:bottom w:val="single" w:sz="12" w:space="0" w:color="auto"/>
              <w:right w:val="single" w:sz="12"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1 321 069</w:t>
            </w:r>
          </w:p>
        </w:tc>
      </w:tr>
      <w:tr w:rsidR="00C26331" w:rsidRPr="004536C2" w:rsidTr="00C26331">
        <w:trPr>
          <w:trHeight w:val="333"/>
        </w:trPr>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1064"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1015"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981"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1159"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1000"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c>
          <w:tcPr>
            <w:tcW w:w="1511" w:type="dxa"/>
            <w:tcBorders>
              <w:top w:val="single" w:sz="12" w:space="0" w:color="auto"/>
              <w:left w:val="nil"/>
              <w:bottom w:val="nil"/>
              <w:right w:val="nil"/>
            </w:tcBorders>
            <w:shd w:val="clear" w:color="auto" w:fill="auto"/>
            <w:noWrap/>
            <w:vAlign w:val="bottom"/>
            <w:hideMark/>
          </w:tcPr>
          <w:p w:rsidR="004536C2" w:rsidRPr="004536C2" w:rsidRDefault="004536C2" w:rsidP="004536C2">
            <w:pPr>
              <w:spacing w:after="0" w:line="240" w:lineRule="auto"/>
              <w:rPr>
                <w:rFonts w:ascii="Calibri" w:eastAsia="Times New Roman" w:hAnsi="Calibri" w:cs="Calibri"/>
                <w:color w:val="000000"/>
                <w:lang w:eastAsia="cs-CZ"/>
              </w:rPr>
            </w:pPr>
          </w:p>
        </w:tc>
      </w:tr>
      <w:tr w:rsidR="004536C2" w:rsidRPr="004536C2" w:rsidTr="00C26331">
        <w:trPr>
          <w:trHeight w:val="349"/>
        </w:trPr>
        <w:tc>
          <w:tcPr>
            <w:tcW w:w="9090"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příjmy v tis. Kč</w:t>
            </w:r>
          </w:p>
        </w:tc>
      </w:tr>
      <w:tr w:rsidR="00694188" w:rsidRPr="004536C2" w:rsidTr="00C26331">
        <w:trPr>
          <w:trHeight w:val="333"/>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w:t>
            </w: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tříděný sběr celkem</w:t>
            </w:r>
            <w:r w:rsidR="004E5CEB">
              <w:rPr>
                <w:rFonts w:ascii="Arial" w:eastAsia="Times New Roman" w:hAnsi="Arial" w:cs="Arial"/>
                <w:color w:val="000000"/>
                <w:sz w:val="18"/>
                <w:szCs w:val="18"/>
                <w:lang w:eastAsia="cs-CZ"/>
              </w:rPr>
              <w:t>*</w:t>
            </w:r>
            <w:r w:rsidRPr="004536C2">
              <w:rPr>
                <w:rFonts w:ascii="Arial" w:eastAsia="Times New Roman" w:hAnsi="Arial" w:cs="Arial"/>
                <w:b/>
                <w:bCs/>
                <w:color w:val="000000"/>
                <w:sz w:val="18"/>
                <w:szCs w:val="18"/>
                <w:lang w:eastAsia="cs-CZ"/>
              </w:rPr>
              <w:t xml:space="preserve"> </w:t>
            </w:r>
          </w:p>
        </w:tc>
        <w:tc>
          <w:tcPr>
            <w:tcW w:w="1015"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xml:space="preserve">směsný </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nebezpečný odpad</w:t>
            </w:r>
          </w:p>
        </w:tc>
        <w:tc>
          <w:tcPr>
            <w:tcW w:w="1000"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tc>
        <w:tc>
          <w:tcPr>
            <w:tcW w:w="785" w:type="dxa"/>
            <w:tcBorders>
              <w:top w:val="nil"/>
              <w:left w:val="nil"/>
              <w:bottom w:val="nil"/>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xml:space="preserve">sběrné </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1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C26331">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 </w:t>
            </w:r>
          </w:p>
        </w:tc>
        <w:tc>
          <w:tcPr>
            <w:tcW w:w="981" w:type="dxa"/>
            <w:tcBorders>
              <w:top w:val="nil"/>
              <w:left w:val="nil"/>
              <w:bottom w:val="single" w:sz="8" w:space="0" w:color="auto"/>
              <w:right w:val="single" w:sz="8" w:space="0" w:color="auto"/>
            </w:tcBorders>
            <w:shd w:val="clear" w:color="000000" w:fill="D9D9D9"/>
            <w:vAlign w:val="center"/>
            <w:hideMark/>
          </w:tcPr>
          <w:p w:rsidR="004536C2" w:rsidRPr="004536C2" w:rsidRDefault="00694188"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O</w:t>
            </w:r>
            <w:r w:rsidR="004536C2" w:rsidRPr="004536C2">
              <w:rPr>
                <w:rFonts w:ascii="Arial" w:eastAsia="Times New Roman" w:hAnsi="Arial" w:cs="Arial"/>
                <w:color w:val="000000"/>
                <w:sz w:val="18"/>
                <w:szCs w:val="18"/>
                <w:lang w:eastAsia="cs-CZ"/>
              </w:rPr>
              <w:t>dpad</w:t>
            </w:r>
            <w:r>
              <w:rPr>
                <w:rFonts w:ascii="Arial" w:eastAsia="Times New Roman" w:hAnsi="Arial" w:cs="Arial"/>
                <w:color w:val="000000"/>
                <w:sz w:val="18"/>
                <w:szCs w:val="18"/>
                <w:lang w:eastAsia="cs-CZ"/>
              </w:rPr>
              <w:t xml:space="preserve"> (poplatek)</w:t>
            </w:r>
          </w:p>
        </w:tc>
        <w:tc>
          <w:tcPr>
            <w:tcW w:w="1159"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4536C2">
            <w:pPr>
              <w:spacing w:after="0" w:line="240" w:lineRule="auto"/>
              <w:rPr>
                <w:rFonts w:ascii="Arial" w:eastAsia="Times New Roman" w:hAnsi="Arial" w:cs="Arial"/>
                <w:color w:val="000000"/>
                <w:sz w:val="18"/>
                <w:szCs w:val="18"/>
                <w:lang w:eastAsia="cs-CZ"/>
              </w:rPr>
            </w:pPr>
          </w:p>
        </w:tc>
        <w:tc>
          <w:tcPr>
            <w:tcW w:w="1511" w:type="dxa"/>
            <w:vMerge/>
            <w:tcBorders>
              <w:top w:val="nil"/>
              <w:left w:val="single" w:sz="8" w:space="0" w:color="auto"/>
              <w:bottom w:val="single" w:sz="8" w:space="0" w:color="000000"/>
              <w:right w:val="single" w:sz="12" w:space="0" w:color="auto"/>
            </w:tcBorders>
            <w:vAlign w:val="center"/>
            <w:hideMark/>
          </w:tcPr>
          <w:p w:rsidR="004536C2" w:rsidRPr="004536C2" w:rsidRDefault="004536C2" w:rsidP="004536C2">
            <w:pPr>
              <w:spacing w:after="0" w:line="240" w:lineRule="auto"/>
              <w:rPr>
                <w:rFonts w:ascii="Arial" w:eastAsia="Times New Roman" w:hAnsi="Arial" w:cs="Arial"/>
                <w:b/>
                <w:bCs/>
                <w:color w:val="000000"/>
                <w:sz w:val="18"/>
                <w:szCs w:val="18"/>
                <w:lang w:eastAsia="cs-CZ"/>
              </w:rPr>
            </w:pPr>
          </w:p>
        </w:tc>
      </w:tr>
      <w:tr w:rsidR="00C26331" w:rsidRPr="004536C2" w:rsidTr="00C26331">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162 444</w:t>
            </w:r>
            <w:r w:rsidRPr="004536C2">
              <w:rPr>
                <w:rFonts w:ascii="Arial" w:eastAsia="Times New Roman" w:hAnsi="Arial" w:cs="Arial"/>
                <w:color w:val="000000"/>
                <w:sz w:val="18"/>
                <w:szCs w:val="18"/>
                <w:vertAlign w:val="superscript"/>
                <w:lang w:eastAsia="cs-CZ"/>
              </w:rPr>
              <w:footnoteReference w:id="2"/>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705 297</w:t>
            </w:r>
            <w:r w:rsidRPr="004536C2">
              <w:rPr>
                <w:rFonts w:ascii="Arial" w:eastAsia="Times New Roman" w:hAnsi="Arial" w:cs="Arial"/>
                <w:color w:val="000000"/>
                <w:sz w:val="18"/>
                <w:szCs w:val="18"/>
                <w:vertAlign w:val="superscript"/>
                <w:lang w:eastAsia="cs-CZ"/>
              </w:rPr>
              <w:footnoteReference w:id="3"/>
            </w:r>
          </w:p>
        </w:tc>
        <w:tc>
          <w:tcPr>
            <w:tcW w:w="1159"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1 345</w:t>
            </w:r>
            <w:r w:rsidRPr="004536C2">
              <w:rPr>
                <w:rFonts w:ascii="Arial" w:eastAsia="Times New Roman" w:hAnsi="Arial" w:cs="Arial"/>
                <w:color w:val="000000"/>
                <w:sz w:val="18"/>
                <w:szCs w:val="18"/>
                <w:vertAlign w:val="superscript"/>
                <w:lang w:eastAsia="cs-CZ"/>
              </w:rPr>
              <w:footnoteReference w:id="4"/>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1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4536C2">
            <w:pPr>
              <w:spacing w:after="0" w:line="240" w:lineRule="auto"/>
              <w:jc w:val="right"/>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869 086</w:t>
            </w:r>
          </w:p>
        </w:tc>
      </w:tr>
      <w:tr w:rsidR="00C26331" w:rsidRPr="004536C2" w:rsidTr="00C26331">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128 714</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699 670</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1 055</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1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829 439</w:t>
            </w:r>
          </w:p>
        </w:tc>
      </w:tr>
      <w:tr w:rsidR="00C26331" w:rsidRPr="004536C2" w:rsidTr="00C26331">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133 656</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701 763</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981</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1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836 399</w:t>
            </w:r>
          </w:p>
        </w:tc>
      </w:tr>
      <w:tr w:rsidR="00C26331" w:rsidRPr="004536C2" w:rsidTr="00C26331">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8"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140 847</w:t>
            </w:r>
          </w:p>
        </w:tc>
        <w:tc>
          <w:tcPr>
            <w:tcW w:w="1015" w:type="dxa"/>
            <w:tcBorders>
              <w:top w:val="single" w:sz="8"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700 079</w:t>
            </w:r>
          </w:p>
        </w:tc>
        <w:tc>
          <w:tcPr>
            <w:tcW w:w="1159" w:type="dxa"/>
            <w:tcBorders>
              <w:top w:val="single" w:sz="8"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right"/>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1 096</w:t>
            </w:r>
          </w:p>
        </w:tc>
        <w:tc>
          <w:tcPr>
            <w:tcW w:w="1000" w:type="dxa"/>
            <w:tcBorders>
              <w:top w:val="single" w:sz="8"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12" w:space="0" w:color="auto"/>
              <w:right w:val="single" w:sz="8" w:space="0" w:color="auto"/>
            </w:tcBorders>
            <w:shd w:val="clear" w:color="auto" w:fill="auto"/>
            <w:vAlign w:val="center"/>
          </w:tcPr>
          <w:p w:rsidR="004536C2" w:rsidRPr="004536C2" w:rsidRDefault="004536C2" w:rsidP="004536C2">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11" w:type="dxa"/>
            <w:tcBorders>
              <w:top w:val="single" w:sz="8" w:space="0" w:color="auto"/>
              <w:left w:val="nil"/>
              <w:bottom w:val="single" w:sz="12" w:space="0" w:color="auto"/>
              <w:right w:val="single" w:sz="12" w:space="0" w:color="auto"/>
            </w:tcBorders>
            <w:shd w:val="clear" w:color="auto" w:fill="auto"/>
            <w:vAlign w:val="center"/>
          </w:tcPr>
          <w:p w:rsidR="004536C2" w:rsidRPr="004E5CEB" w:rsidRDefault="00694188" w:rsidP="00694188">
            <w:pPr>
              <w:pStyle w:val="Odstavecseseznamem"/>
              <w:numPr>
                <w:ilvl w:val="0"/>
                <w:numId w:val="12"/>
              </w:num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02</w:t>
            </w:r>
            <w:r w:rsidR="004536C2" w:rsidRPr="004E5CEB">
              <w:rPr>
                <w:rFonts w:ascii="Arial" w:eastAsia="Times New Roman" w:hAnsi="Arial" w:cs="Arial"/>
                <w:b/>
                <w:bCs/>
                <w:color w:val="000000"/>
                <w:sz w:val="18"/>
                <w:szCs w:val="18"/>
                <w:lang w:eastAsia="cs-CZ"/>
              </w:rPr>
              <w:t>2</w:t>
            </w:r>
          </w:p>
        </w:tc>
      </w:tr>
    </w:tbl>
    <w:p w:rsidR="004E5CEB" w:rsidRPr="004E5CEB" w:rsidRDefault="004E5CEB"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r w:rsidRPr="004E5CEB">
        <w:rPr>
          <w:rFonts w:ascii="Arial" w:eastAsia="Times New Roman" w:hAnsi="Arial" w:cs="Arial"/>
          <w:bCs/>
          <w:sz w:val="18"/>
          <w:szCs w:val="18"/>
          <w:lang w:eastAsia="cs-CZ"/>
        </w:rPr>
        <w:t xml:space="preserve">*) Mimo příspěvku od společnosti EKO-KOM, je vždy v příjmech </w:t>
      </w:r>
      <w:r>
        <w:rPr>
          <w:rFonts w:ascii="Arial" w:eastAsia="Times New Roman" w:hAnsi="Arial" w:cs="Arial"/>
          <w:bCs/>
          <w:sz w:val="18"/>
          <w:szCs w:val="18"/>
          <w:lang w:eastAsia="cs-CZ"/>
        </w:rPr>
        <w:t>za tříděný odpad ještě započítán</w:t>
      </w:r>
      <w:r w:rsidRPr="004E5CEB">
        <w:rPr>
          <w:rFonts w:ascii="Arial" w:eastAsia="Times New Roman" w:hAnsi="Arial" w:cs="Arial"/>
          <w:bCs/>
          <w:sz w:val="18"/>
          <w:szCs w:val="18"/>
          <w:lang w:eastAsia="cs-CZ"/>
        </w:rPr>
        <w:t xml:space="preserve"> roční příjem ze za</w:t>
      </w:r>
      <w:r>
        <w:rPr>
          <w:rFonts w:ascii="Arial" w:eastAsia="Times New Roman" w:hAnsi="Arial" w:cs="Arial"/>
          <w:bCs/>
          <w:sz w:val="18"/>
          <w:szCs w:val="18"/>
          <w:lang w:eastAsia="cs-CZ"/>
        </w:rPr>
        <w:t>pojených živností do systému města</w:t>
      </w:r>
      <w:r w:rsidR="00746856">
        <w:rPr>
          <w:rFonts w:ascii="Arial" w:eastAsia="Times New Roman" w:hAnsi="Arial" w:cs="Arial"/>
          <w:bCs/>
          <w:sz w:val="18"/>
          <w:szCs w:val="18"/>
          <w:lang w:eastAsia="cs-CZ"/>
        </w:rPr>
        <w:t>, které</w:t>
      </w:r>
      <w:r w:rsidRPr="004E5CEB">
        <w:rPr>
          <w:rFonts w:ascii="Arial" w:eastAsia="Times New Roman" w:hAnsi="Arial" w:cs="Arial"/>
          <w:bCs/>
          <w:sz w:val="18"/>
          <w:szCs w:val="18"/>
          <w:lang w:eastAsia="cs-CZ"/>
        </w:rPr>
        <w:t xml:space="preserve"> </w:t>
      </w:r>
      <w:r>
        <w:rPr>
          <w:rFonts w:ascii="Arial" w:eastAsia="Times New Roman" w:hAnsi="Arial" w:cs="Arial"/>
          <w:bCs/>
          <w:sz w:val="18"/>
          <w:szCs w:val="18"/>
          <w:lang w:eastAsia="cs-CZ"/>
        </w:rPr>
        <w:t xml:space="preserve">smluvním podílem </w:t>
      </w:r>
      <w:r w:rsidRPr="004E5CEB">
        <w:rPr>
          <w:rFonts w:ascii="Arial" w:eastAsia="Times New Roman" w:hAnsi="Arial" w:cs="Arial"/>
          <w:bCs/>
          <w:sz w:val="18"/>
          <w:szCs w:val="18"/>
          <w:lang w:eastAsia="cs-CZ"/>
        </w:rPr>
        <w:t>využívají některá venkovní stanoviště tříděného odpadu</w:t>
      </w:r>
    </w:p>
    <w:p w:rsidR="004E5CEB" w:rsidRPr="004536C2" w:rsidRDefault="004E5CEB"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Cs/>
          <w:sz w:val="20"/>
          <w:lang w:eastAsia="cs-CZ"/>
        </w:rPr>
      </w:pPr>
      <w:r w:rsidRPr="004536C2">
        <w:rPr>
          <w:rFonts w:ascii="Arial" w:eastAsia="Times New Roman" w:hAnsi="Arial" w:cs="Arial"/>
          <w:bCs/>
          <w:sz w:val="20"/>
          <w:lang w:eastAsia="cs-CZ"/>
        </w:rPr>
        <w:t>Rozdíl cca 479 mil. Kč za rok 2016 hradí ze svého rozpočtu MHMP.</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t xml:space="preserve">Příspěvek společnosti EKO-KOM, a.s. </w:t>
      </w: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Jednou z povinností obce jako původce odpadů je odpady sbírat odděleně, mimo jiné zajišťovat i tříděný sběr využitelných složek komunálních odpadů. Vytříděné využitelné složky komunálních odpadů obsahují i použité obaly a u některých komodit obaly převažují (např. papír, plasty, sklo, nápojové kartony).</w:t>
      </w:r>
    </w:p>
    <w:p w:rsidR="004536C2" w:rsidRPr="004536C2" w:rsidRDefault="004536C2" w:rsidP="004536C2">
      <w:pPr>
        <w:spacing w:after="0" w:line="240" w:lineRule="auto"/>
        <w:jc w:val="both"/>
        <w:rPr>
          <w:rFonts w:ascii="Arial" w:eastAsia="Calibri" w:hAnsi="Arial" w:cs="Arial"/>
          <w:sz w:val="20"/>
          <w:szCs w:val="20"/>
        </w:rPr>
      </w:pP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Obec, která provozuje tříděný sběr komunálních odpadů, se může zapojit do systému EKO</w:t>
      </w:r>
      <w:r w:rsidRPr="004536C2">
        <w:rPr>
          <w:rFonts w:ascii="Arial" w:eastAsia="Calibri" w:hAnsi="Arial" w:cs="Arial"/>
          <w:sz w:val="20"/>
          <w:szCs w:val="20"/>
        </w:rPr>
        <w:noBreakHyphen/>
        <w:t>KOM a to na základě Smlouvy o zajištění zpětného odběru a využití odpadů z obalů. Na základě této smlouvy pak obec získává nárok na odměnu za zajišťování zpětného odběru a následného využití odpadů z obalů. Odměna se vypočítává na základě pravidelného čtvrtletního hlášení o množství, druzích a způsobech nakládání s využitelnými složkami komunálních odpadů. Výše odměny je závislá zejména na množství vytříděných odpadů, její výše roste spolu s účinností systému sběru. Odměna pomáhá snižovat náklady spojené s provozem systému sběru využitelných složek komunálních odpadů.</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tbl>
      <w:tblPr>
        <w:tblW w:w="467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1"/>
        <w:gridCol w:w="3827"/>
      </w:tblGrid>
      <w:tr w:rsidR="004536C2" w:rsidRPr="004536C2" w:rsidTr="00114158">
        <w:trPr>
          <w:trHeight w:val="6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p>
        </w:tc>
        <w:tc>
          <w:tcPr>
            <w:tcW w:w="3827"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odměna společnosti EKO-KOM a.s. (v tis. Kč)</w:t>
            </w:r>
          </w:p>
        </w:tc>
      </w:tr>
      <w:tr w:rsidR="004536C2" w:rsidRPr="004536C2" w:rsidTr="00114158">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2001</w:t>
            </w:r>
          </w:p>
        </w:tc>
        <w:tc>
          <w:tcPr>
            <w:tcW w:w="3827" w:type="dxa"/>
            <w:shd w:val="clear" w:color="auto" w:fill="E0E0E0"/>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szCs w:val="20"/>
                <w:lang w:eastAsia="cs-CZ"/>
              </w:rPr>
              <w:t>22 899</w:t>
            </w:r>
          </w:p>
        </w:tc>
      </w:tr>
      <w:tr w:rsidR="004536C2" w:rsidRPr="004536C2" w:rsidTr="00114158">
        <w:trPr>
          <w:trHeight w:val="66"/>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39 531</w:t>
            </w:r>
          </w:p>
        </w:tc>
      </w:tr>
      <w:tr w:rsidR="004536C2" w:rsidRPr="004536C2" w:rsidTr="004536C2">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70 788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71 093</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81 887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90 575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100 857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119 742</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136 456</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159 368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156 410</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143 698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160 677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126 925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131 799</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140 009</w:t>
            </w:r>
          </w:p>
        </w:tc>
      </w:tr>
    </w:tbl>
    <w:p w:rsidR="00694188" w:rsidRDefault="00694188"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lastRenderedPageBreak/>
        <w:t>Proplácení nákladů spojených se sběrem, svozem a odstraněním léků MF ČR</w:t>
      </w:r>
    </w:p>
    <w:p w:rsidR="004536C2" w:rsidRPr="004536C2" w:rsidRDefault="004536C2" w:rsidP="004536C2">
      <w:pPr>
        <w:spacing w:after="0" w:line="240" w:lineRule="auto"/>
        <w:jc w:val="both"/>
        <w:rPr>
          <w:rFonts w:ascii="Times New Roman" w:eastAsia="Times New Roman" w:hAnsi="Times New Roman" w:cs="Times New Roman"/>
          <w:sz w:val="20"/>
          <w:szCs w:val="20"/>
          <w:lang w:eastAsia="cs-CZ"/>
        </w:rPr>
      </w:pPr>
      <w:r w:rsidRPr="004536C2">
        <w:rPr>
          <w:rFonts w:ascii="Arial" w:eastAsia="Times New Roman" w:hAnsi="Arial" w:cs="Arial"/>
          <w:sz w:val="20"/>
          <w:szCs w:val="20"/>
          <w:lang w:eastAsia="cs-CZ"/>
        </w:rPr>
        <w:t xml:space="preserve">Na základě novely zákona o léčivech jsou od ledna 2003 ministerstvem financí propláceny náklady spojené se sběrem, svozem a odstraněním léků z lékáren. </w:t>
      </w:r>
    </w:p>
    <w:p w:rsidR="00694188" w:rsidRDefault="00694188" w:rsidP="004536C2">
      <w:pPr>
        <w:autoSpaceDE w:val="0"/>
        <w:autoSpaceDN w:val="0"/>
        <w:adjustRightInd w:val="0"/>
        <w:spacing w:after="0" w:line="240" w:lineRule="auto"/>
        <w:rPr>
          <w:rFonts w:ascii="Arial" w:eastAsia="Times New Roman" w:hAnsi="Arial" w:cs="Arial"/>
          <w:sz w:val="20"/>
          <w:szCs w:val="24"/>
          <w:highlight w:val="yellow"/>
          <w:lang w:eastAsia="cs-CZ"/>
        </w:rPr>
      </w:pP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r w:rsidRPr="004536C2">
        <w:rPr>
          <w:rFonts w:ascii="Arial" w:eastAsia="Times New Roman" w:hAnsi="Arial" w:cs="Arial"/>
          <w:b/>
          <w:caps/>
          <w:sz w:val="20"/>
          <w:szCs w:val="20"/>
          <w:u w:val="single"/>
          <w:lang w:eastAsia="cs-CZ"/>
        </w:rPr>
        <w:t>poplatek za komunální odpad</w:t>
      </w: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Poplatek za komunální odpad (dále jen „poplatek“) upravuje zákon č.185/2001 Sb., o odpadech a o změně některých dalších zákonů, ve znění pozdějších předpisů, zákon č.280/2009 Sb., daňový řád, ve znění pozdějších předpisů a Obecně závazná vyhláška č.2/2005 Sb., hl. m. Prahy, kterou se stanoví poplatek za komunální odpad. Plátcem poplatku je vlastník nemovitosti. Plátce poplatku má ohlašovací a registrační povinnost, kterou splní tím, že správci poplatku doručí „Prohlášení plátce poplatku“, vyplněné u svozové společnosti zabezpečující odvoz komunálního odpadu v dané svozové oblasti</w:t>
      </w:r>
      <w:r w:rsidRPr="004536C2">
        <w:rPr>
          <w:rFonts w:ascii="Arial" w:eastAsia="Calibri" w:hAnsi="Arial" w:cs="Arial"/>
          <w:b/>
          <w:bCs/>
          <w:sz w:val="20"/>
          <w:szCs w:val="20"/>
        </w:rPr>
        <w:t>.</w:t>
      </w: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V průběhu let 1998 – 2016 byly na základě změn právních předpisů v oblasti odpadového hospodářství uplatňovány v hlavním městě Praze následující systémy úhrad od obyvatel:</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70"/>
        <w:gridCol w:w="1399"/>
        <w:gridCol w:w="1261"/>
        <w:gridCol w:w="1268"/>
        <w:gridCol w:w="1044"/>
      </w:tblGrid>
      <w:tr w:rsidR="004536C2" w:rsidRPr="004536C2" w:rsidTr="00563C93">
        <w:tc>
          <w:tcPr>
            <w:tcW w:w="4181" w:type="dxa"/>
            <w:shd w:val="clear" w:color="auto" w:fill="D9D9D9"/>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sz w:val="18"/>
                <w:szCs w:val="20"/>
                <w:lang w:eastAsia="cs-CZ"/>
              </w:rPr>
              <w:t>Druh úhrady</w:t>
            </w:r>
          </w:p>
        </w:tc>
        <w:tc>
          <w:tcPr>
            <w:tcW w:w="1418"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poplatník</w:t>
            </w:r>
          </w:p>
        </w:tc>
        <w:tc>
          <w:tcPr>
            <w:tcW w:w="1275"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plátce</w:t>
            </w:r>
          </w:p>
        </w:tc>
        <w:tc>
          <w:tcPr>
            <w:tcW w:w="1276"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Úhradu vybírá</w:t>
            </w:r>
          </w:p>
        </w:tc>
        <w:tc>
          <w:tcPr>
            <w:tcW w:w="1060"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Počet plátců</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1.1.1998</w:t>
            </w:r>
            <w:proofErr w:type="gramEnd"/>
            <w:r w:rsidRPr="004536C2">
              <w:rPr>
                <w:rFonts w:ascii="Arial" w:eastAsia="Times New Roman" w:hAnsi="Arial" w:cs="Arial"/>
                <w:sz w:val="18"/>
                <w:szCs w:val="20"/>
                <w:lang w:eastAsia="cs-CZ"/>
              </w:rPr>
              <w:t xml:space="preserve"> – 29.2.2000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smluvní cena</w:t>
            </w:r>
            <w:r w:rsidRPr="004536C2">
              <w:rPr>
                <w:rFonts w:ascii="Arial" w:eastAsia="Times New Roman" w:hAnsi="Arial" w:cs="Arial"/>
                <w:sz w:val="18"/>
                <w:szCs w:val="20"/>
                <w:lang w:eastAsia="cs-CZ"/>
              </w:rPr>
              <w:t xml:space="preserve"> (stanovená podle počtu, objemu a frekvence obsluhy sběrných nádob) rozpočítaná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Pražské služby (na základě smlouvy s městem)</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1.3.2000</w:t>
            </w:r>
            <w:proofErr w:type="gramEnd"/>
            <w:r w:rsidRPr="004536C2">
              <w:rPr>
                <w:rFonts w:ascii="Arial" w:eastAsia="Times New Roman" w:hAnsi="Arial" w:cs="Arial"/>
                <w:sz w:val="18"/>
                <w:szCs w:val="20"/>
                <w:lang w:eastAsia="cs-CZ"/>
              </w:rPr>
              <w:t xml:space="preserve"> – 31.12.2001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odpad</w:t>
            </w:r>
            <w:r w:rsidRPr="004536C2">
              <w:rPr>
                <w:rFonts w:ascii="Arial" w:eastAsia="Times New Roman" w:hAnsi="Arial" w:cs="Arial"/>
                <w:sz w:val="18"/>
                <w:szCs w:val="20"/>
                <w:lang w:eastAsia="cs-CZ"/>
              </w:rPr>
              <w:t xml:space="preserve"> (stanovený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1.1.2002</w:t>
            </w:r>
            <w:proofErr w:type="gramEnd"/>
            <w:r w:rsidRPr="004536C2">
              <w:rPr>
                <w:rFonts w:ascii="Arial" w:eastAsia="Times New Roman" w:hAnsi="Arial" w:cs="Arial"/>
                <w:sz w:val="18"/>
                <w:szCs w:val="20"/>
                <w:lang w:eastAsia="cs-CZ"/>
              </w:rPr>
              <w:t xml:space="preserve"> – 31.12.2002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místní poplatek</w:t>
            </w:r>
            <w:r w:rsidRPr="004536C2">
              <w:rPr>
                <w:rFonts w:ascii="Arial" w:eastAsia="Times New Roman" w:hAnsi="Arial" w:cs="Arial"/>
                <w:sz w:val="18"/>
                <w:szCs w:val="20"/>
                <w:lang w:eastAsia="cs-CZ"/>
              </w:rPr>
              <w:t xml:space="preserve"> (stanovený na jednoho obyvatele – kapitační platba) </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s trvalým pobytem</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1 200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 xml:space="preserve">Od </w:t>
            </w:r>
            <w:proofErr w:type="gramStart"/>
            <w:r w:rsidRPr="004536C2">
              <w:rPr>
                <w:rFonts w:ascii="Arial" w:eastAsia="Times New Roman" w:hAnsi="Arial" w:cs="Arial"/>
                <w:sz w:val="18"/>
                <w:szCs w:val="20"/>
                <w:lang w:eastAsia="cs-CZ"/>
              </w:rPr>
              <w:t>1.1.2003</w:t>
            </w:r>
            <w:proofErr w:type="gramEnd"/>
            <w:r w:rsidRPr="004536C2">
              <w:rPr>
                <w:rFonts w:ascii="Arial" w:eastAsia="Times New Roman" w:hAnsi="Arial" w:cs="Arial"/>
                <w:sz w:val="18"/>
                <w:szCs w:val="20"/>
                <w:lang w:eastAsia="cs-CZ"/>
              </w:rPr>
              <w:t xml:space="preserve">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komunální odpad</w:t>
            </w:r>
            <w:r w:rsidRPr="004536C2">
              <w:rPr>
                <w:rFonts w:ascii="Arial" w:eastAsia="Times New Roman" w:hAnsi="Arial" w:cs="Arial"/>
                <w:sz w:val="18"/>
                <w:szCs w:val="20"/>
                <w:lang w:eastAsia="cs-CZ"/>
              </w:rPr>
              <w:t xml:space="preserve">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DPC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bl>
    <w:p w:rsidR="004536C2" w:rsidRPr="004536C2" w:rsidRDefault="004536C2" w:rsidP="004536C2">
      <w:pPr>
        <w:autoSpaceDE w:val="0"/>
        <w:autoSpaceDN w:val="0"/>
        <w:adjustRightInd w:val="0"/>
        <w:spacing w:after="0" w:line="240" w:lineRule="auto"/>
        <w:rPr>
          <w:rFonts w:ascii="Arial" w:eastAsia="Times New Roman" w:hAnsi="Arial" w:cs="Arial"/>
          <w:sz w:val="20"/>
          <w:szCs w:val="20"/>
          <w:highlight w:val="yellow"/>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V následující tabulce a grafu jsou znázorněny výše předepsaných úhrad a minimální (tj. při 0 % nedoplatku) dotace města k doplnění do výše skutečných nákladů na sběr, svoz, využívání a odstraňování směsného odpadu, jehož původcem je hl. m. Praha. Maximální dotace města nelze pro jednotlivé roky přesně stanovit, jelikož v současné době stále probíhají správní řízení o vymáhání nedoplatků za celé hodnocené období. Rok 2002 není porovnatelný, jelikož byla prováděna kapitační platba (jednotná výše poplatku na osobu).</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highlight w:val="yellow"/>
          <w:lang w:eastAsia="cs-CZ"/>
        </w:rPr>
      </w:pPr>
    </w:p>
    <w:tbl>
      <w:tblPr>
        <w:tblW w:w="922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4"/>
        <w:gridCol w:w="970"/>
        <w:gridCol w:w="970"/>
        <w:gridCol w:w="970"/>
        <w:gridCol w:w="970"/>
        <w:gridCol w:w="970"/>
        <w:gridCol w:w="970"/>
        <w:gridCol w:w="970"/>
      </w:tblGrid>
      <w:tr w:rsidR="004536C2" w:rsidRPr="004536C2" w:rsidTr="004536C2">
        <w:trPr>
          <w:trHeight w:val="255"/>
        </w:trPr>
        <w:tc>
          <w:tcPr>
            <w:tcW w:w="2420"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1998</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2000</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2001</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2002</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r>
      <w:tr w:rsidR="004536C2" w:rsidRPr="004536C2" w:rsidTr="004536C2">
        <w:trPr>
          <w:trHeight w:val="255"/>
        </w:trPr>
        <w:tc>
          <w:tcPr>
            <w:tcW w:w="2420"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321,8</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385</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392,1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543</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537,5</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567,1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650,3</w:t>
            </w:r>
          </w:p>
        </w:tc>
      </w:tr>
      <w:tr w:rsidR="004536C2" w:rsidRPr="004536C2" w:rsidTr="004536C2">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74,9</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140,3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20,6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46,3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77,6</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36,4</w:t>
            </w:r>
          </w:p>
        </w:tc>
      </w:tr>
      <w:tr w:rsidR="004536C2" w:rsidRPr="004536C2" w:rsidTr="004536C2">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18,9</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23,8</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26,4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3,7</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5,2</w:t>
            </w:r>
          </w:p>
        </w:tc>
      </w:tr>
      <w:tr w:rsidR="004536C2" w:rsidRPr="004536C2" w:rsidTr="004536C2">
        <w:trPr>
          <w:trHeight w:val="270"/>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396,7</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505</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532,4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563,6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583,8</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644,7</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16"/>
          <w:highlight w:val="yellow"/>
          <w:lang w:eastAsia="cs-CZ"/>
        </w:rPr>
      </w:pPr>
    </w:p>
    <w:tbl>
      <w:tblPr>
        <w:tblW w:w="920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3"/>
        <w:gridCol w:w="969"/>
        <w:gridCol w:w="967"/>
        <w:gridCol w:w="967"/>
        <w:gridCol w:w="967"/>
        <w:gridCol w:w="967"/>
        <w:gridCol w:w="967"/>
        <w:gridCol w:w="967"/>
      </w:tblGrid>
      <w:tr w:rsidR="004536C2" w:rsidRPr="004536C2" w:rsidTr="004536C2">
        <w:trPr>
          <w:trHeight w:val="278"/>
        </w:trPr>
        <w:tc>
          <w:tcPr>
            <w:tcW w:w="2433"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9"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r>
      <w:tr w:rsidR="004536C2" w:rsidRPr="004536C2" w:rsidTr="004536C2">
        <w:trPr>
          <w:trHeight w:val="278"/>
        </w:trPr>
        <w:tc>
          <w:tcPr>
            <w:tcW w:w="2433"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654,0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674,2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686,2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697,2</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56,3</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49,4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60,4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107,4</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9,0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6,1</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13,3</w:t>
            </w:r>
          </w:p>
        </w:tc>
      </w:tr>
      <w:tr w:rsidR="004536C2" w:rsidRPr="004536C2" w:rsidTr="004536C2">
        <w:trPr>
          <w:trHeight w:val="296"/>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717,8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740,9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767,4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735,0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747,2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760,0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804,6</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917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4"/>
        <w:gridCol w:w="965"/>
        <w:gridCol w:w="965"/>
        <w:gridCol w:w="964"/>
        <w:gridCol w:w="964"/>
        <w:gridCol w:w="964"/>
        <w:gridCol w:w="964"/>
        <w:gridCol w:w="964"/>
      </w:tblGrid>
      <w:tr w:rsidR="004536C2" w:rsidRPr="004536C2" w:rsidTr="004536C2">
        <w:trPr>
          <w:trHeight w:val="279"/>
        </w:trPr>
        <w:tc>
          <w:tcPr>
            <w:tcW w:w="242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2016</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4536C2">
        <w:trPr>
          <w:trHeight w:val="279"/>
        </w:trPr>
        <w:tc>
          <w:tcPr>
            <w:tcW w:w="2424"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696,8</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699,7</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699,1</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703,7</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4536C2">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lastRenderedPageBreak/>
              <w:t>dotace města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112,3</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118,2</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109,6</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160,9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4536C2">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13,9</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14,5</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13,6</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18,6</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4536C2">
        <w:trPr>
          <w:trHeight w:val="296"/>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808,6</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817,9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808,7</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864,6</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 xml:space="preserve">Výše úhrady za směsný odpad (s výjimkou roku 2002) odpovídala stanovené výši „poplatku“, v konkrétním případě závisela výše poplatku pro daný objekt na počtu, objemu sběrných nádob a četnosti odvozu odpadu.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financování SKO v letech 1998-</w:t>
      </w:r>
      <w:r w:rsidRPr="004536C2">
        <w:rPr>
          <w:rFonts w:ascii="Arial" w:eastAsia="Times New Roman" w:hAnsi="Arial" w:cs="Arial"/>
          <w:bCs/>
          <w:sz w:val="20"/>
          <w:szCs w:val="20"/>
          <w:lang w:eastAsia="cs-CZ"/>
        </w:rPr>
        <w:t>2016</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Times New Roman" w:eastAsia="Times New Roman" w:hAnsi="Times New Roman" w:cs="Times New Roman"/>
          <w:noProof/>
          <w:sz w:val="20"/>
          <w:szCs w:val="20"/>
          <w:lang w:eastAsia="cs-CZ"/>
        </w:rPr>
        <w:drawing>
          <wp:inline distT="0" distB="0" distL="0" distR="0">
            <wp:extent cx="5181600" cy="2613660"/>
            <wp:effectExtent l="0" t="0" r="0" b="15240"/>
            <wp:docPr id="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536C2" w:rsidRPr="004536C2" w:rsidRDefault="004536C2" w:rsidP="004536C2">
      <w:pPr>
        <w:numPr>
          <w:ilvl w:val="0"/>
          <w:numId w:val="1"/>
        </w:numPr>
        <w:autoSpaceDE w:val="0"/>
        <w:autoSpaceDN w:val="0"/>
        <w:adjustRightInd w:val="0"/>
        <w:spacing w:after="0" w:line="240" w:lineRule="auto"/>
        <w:rPr>
          <w:rFonts w:ascii="Arial" w:eastAsia="Times New Roman" w:hAnsi="Arial" w:cs="Arial"/>
          <w:sz w:val="20"/>
          <w:lang w:eastAsia="cs-CZ"/>
        </w:rPr>
      </w:pPr>
      <w:r w:rsidRPr="004536C2">
        <w:rPr>
          <w:rFonts w:ascii="Arial" w:eastAsia="Times New Roman" w:hAnsi="Arial" w:cs="Arial"/>
          <w:sz w:val="20"/>
          <w:lang w:eastAsia="cs-CZ"/>
        </w:rPr>
        <w:t>v roce 2002 byl uplatněn místní poplatek (jednotná výše na osobu a rok 468 Kč)</w:t>
      </w:r>
    </w:p>
    <w:p w:rsidR="004536C2" w:rsidRPr="004536C2" w:rsidRDefault="004536C2" w:rsidP="004536C2">
      <w:pPr>
        <w:numPr>
          <w:ilvl w:val="0"/>
          <w:numId w:val="1"/>
        </w:numPr>
        <w:autoSpaceDE w:val="0"/>
        <w:autoSpaceDN w:val="0"/>
        <w:adjustRightInd w:val="0"/>
        <w:spacing w:after="0" w:line="240" w:lineRule="auto"/>
        <w:rPr>
          <w:rFonts w:ascii="Arial" w:eastAsia="Times New Roman" w:hAnsi="Arial" w:cs="Arial"/>
          <w:sz w:val="20"/>
          <w:lang w:eastAsia="cs-CZ"/>
        </w:rPr>
      </w:pPr>
      <w:r w:rsidRPr="004536C2">
        <w:rPr>
          <w:rFonts w:ascii="Arial" w:eastAsia="Times New Roman" w:hAnsi="Arial" w:cs="Arial"/>
          <w:sz w:val="20"/>
          <w:lang w:eastAsia="cs-CZ"/>
        </w:rPr>
        <w:t>od roku 2005 se do poplatku promítá odložený vliv zvýšené sazby DPH</w:t>
      </w:r>
    </w:p>
    <w:p w:rsidR="004536C2" w:rsidRPr="004536C2" w:rsidRDefault="004536C2" w:rsidP="004536C2">
      <w:pPr>
        <w:numPr>
          <w:ilvl w:val="0"/>
          <w:numId w:val="1"/>
        </w:numPr>
        <w:autoSpaceDE w:val="0"/>
        <w:autoSpaceDN w:val="0"/>
        <w:adjustRightInd w:val="0"/>
        <w:spacing w:after="0" w:line="240" w:lineRule="auto"/>
        <w:rPr>
          <w:rFonts w:ascii="Arial" w:eastAsia="Times New Roman" w:hAnsi="Arial" w:cs="Arial"/>
          <w:sz w:val="20"/>
          <w:lang w:eastAsia="cs-CZ"/>
        </w:rPr>
      </w:pPr>
      <w:r w:rsidRPr="004536C2">
        <w:rPr>
          <w:rFonts w:ascii="Arial" w:eastAsia="Times New Roman" w:hAnsi="Arial" w:cs="Arial"/>
          <w:sz w:val="20"/>
          <w:lang w:eastAsia="cs-CZ"/>
        </w:rPr>
        <w:t>v roce 2009 se projevil vliv snížení sazby DPH</w:t>
      </w:r>
    </w:p>
    <w:p w:rsidR="004536C2" w:rsidRPr="004536C2" w:rsidRDefault="004536C2" w:rsidP="004536C2">
      <w:pPr>
        <w:numPr>
          <w:ilvl w:val="0"/>
          <w:numId w:val="1"/>
        </w:numPr>
        <w:autoSpaceDE w:val="0"/>
        <w:autoSpaceDN w:val="0"/>
        <w:adjustRightInd w:val="0"/>
        <w:spacing w:after="0" w:line="240" w:lineRule="auto"/>
        <w:rPr>
          <w:rFonts w:ascii="Arial" w:eastAsia="Times New Roman" w:hAnsi="Arial" w:cs="Arial"/>
          <w:sz w:val="20"/>
          <w:lang w:eastAsia="cs-CZ"/>
        </w:rPr>
      </w:pPr>
      <w:r w:rsidRPr="004536C2">
        <w:rPr>
          <w:rFonts w:ascii="Arial" w:eastAsia="Times New Roman" w:hAnsi="Arial" w:cs="Arial"/>
          <w:sz w:val="20"/>
          <w:lang w:eastAsia="cs-CZ"/>
        </w:rPr>
        <w:t>vliv zvýšení sazby DPH v letech 2010 (o 1%), 2012 (o 4%), 2013 (o 1%)</w:t>
      </w:r>
    </w:p>
    <w:p w:rsidR="002F5942" w:rsidRDefault="002F5942">
      <w:pPr>
        <w:sectPr w:rsidR="002F5942">
          <w:pgSz w:w="11906" w:h="16838"/>
          <w:pgMar w:top="1417" w:right="1417" w:bottom="1417" w:left="1417" w:header="708" w:footer="708" w:gutter="0"/>
          <w:cols w:space="708"/>
          <w:docGrid w:linePitch="360"/>
        </w:sectPr>
      </w:pPr>
    </w:p>
    <w:p w:rsidR="002F5942" w:rsidRPr="002F5942" w:rsidRDefault="002F5942" w:rsidP="002F5942">
      <w:pPr>
        <w:autoSpaceDE w:val="0"/>
        <w:autoSpaceDN w:val="0"/>
        <w:adjustRightInd w:val="0"/>
        <w:spacing w:after="0" w:line="240" w:lineRule="auto"/>
        <w:jc w:val="center"/>
        <w:rPr>
          <w:rFonts w:ascii="Arial" w:eastAsia="Times New Roman" w:hAnsi="Arial" w:cs="Arial"/>
          <w:sz w:val="20"/>
          <w:lang w:eastAsia="cs-CZ"/>
        </w:rPr>
      </w:pPr>
      <w:r w:rsidRPr="002F5942">
        <w:rPr>
          <w:rFonts w:ascii="Arial" w:eastAsia="Times New Roman" w:hAnsi="Arial" w:cs="Arial"/>
          <w:sz w:val="20"/>
          <w:lang w:eastAsia="cs-CZ"/>
        </w:rPr>
        <w:lastRenderedPageBreak/>
        <w:t>Druhy odebíraných odpadů v rámci komplexního systému nakládání s komunálním odpadem na území hl. m. Prahy</w:t>
      </w:r>
    </w:p>
    <w:p w:rsidR="004536C2" w:rsidRDefault="004536C2"/>
    <w:p w:rsidR="00563C93" w:rsidRDefault="00114158">
      <w:r w:rsidRPr="00114158">
        <w:rPr>
          <w:noProof/>
          <w:lang w:eastAsia="cs-CZ"/>
        </w:rPr>
        <w:drawing>
          <wp:inline distT="0" distB="0" distL="0" distR="0" wp14:anchorId="1F1A327F" wp14:editId="4B0FED7B">
            <wp:extent cx="9351010" cy="3000375"/>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2106" cy="3007144"/>
                    </a:xfrm>
                    <a:prstGeom prst="rect">
                      <a:avLst/>
                    </a:prstGeom>
                    <a:noFill/>
                    <a:ln>
                      <a:noFill/>
                    </a:ln>
                  </pic:spPr>
                </pic:pic>
              </a:graphicData>
            </a:graphic>
          </wp:inline>
        </w:drawing>
      </w:r>
    </w:p>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sectPr w:rsidR="00563C93" w:rsidSect="002F594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D2E" w:rsidRDefault="00D96D2E" w:rsidP="004536C2">
      <w:pPr>
        <w:spacing w:after="0" w:line="240" w:lineRule="auto"/>
      </w:pPr>
      <w:r>
        <w:separator/>
      </w:r>
    </w:p>
  </w:endnote>
  <w:endnote w:type="continuationSeparator" w:id="0">
    <w:p w:rsidR="00D96D2E" w:rsidRDefault="00D96D2E" w:rsidP="0045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roman"/>
    <w:notTrueType/>
    <w:pitch w:val="default"/>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1)">
    <w:altName w:val="Arial"/>
    <w:charset w:val="EE"/>
    <w:family w:val="swiss"/>
    <w:pitch w:val="variable"/>
    <w:sig w:usb0="20007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D2E" w:rsidRDefault="00D96D2E" w:rsidP="004536C2">
      <w:pPr>
        <w:spacing w:after="0" w:line="240" w:lineRule="auto"/>
      </w:pPr>
      <w:r>
        <w:separator/>
      </w:r>
    </w:p>
  </w:footnote>
  <w:footnote w:type="continuationSeparator" w:id="0">
    <w:p w:rsidR="00D96D2E" w:rsidRDefault="00D96D2E" w:rsidP="004536C2">
      <w:pPr>
        <w:spacing w:after="0" w:line="240" w:lineRule="auto"/>
      </w:pPr>
      <w:r>
        <w:continuationSeparator/>
      </w:r>
    </w:p>
  </w:footnote>
  <w:footnote w:id="1">
    <w:p w:rsidR="009A49E8" w:rsidRDefault="009A49E8" w:rsidP="004536C2">
      <w:pPr>
        <w:pStyle w:val="Textpoznpodarou"/>
      </w:pPr>
      <w:r>
        <w:rPr>
          <w:rStyle w:val="Znakapoznpodarou"/>
        </w:rPr>
        <w:footnoteRef/>
      </w:r>
      <w:r>
        <w:t xml:space="preserve"> Náklady na papír, sklo, plasty a nápojové kartony jsou po odečtení případných tržeb z prodeje vytříděných komodit</w:t>
      </w:r>
    </w:p>
  </w:footnote>
  <w:footnote w:id="2">
    <w:p w:rsidR="009A49E8" w:rsidRDefault="009A49E8" w:rsidP="004536C2">
      <w:pPr>
        <w:pStyle w:val="Textpoznpodarou"/>
      </w:pPr>
      <w:r>
        <w:rPr>
          <w:rStyle w:val="Znakapoznpodarou"/>
        </w:rPr>
        <w:footnoteRef/>
      </w:r>
      <w:r>
        <w:t xml:space="preserve"> Příspěvek od společnosti EKO-KOM, a.s. a poplatky za zapojené právnické osoby do systému města</w:t>
      </w:r>
    </w:p>
  </w:footnote>
  <w:footnote w:id="3">
    <w:p w:rsidR="009A49E8" w:rsidRDefault="009A49E8" w:rsidP="004536C2">
      <w:pPr>
        <w:pStyle w:val="Textpoznpodarou"/>
      </w:pPr>
      <w:r>
        <w:rPr>
          <w:rStyle w:val="Znakapoznpodarou"/>
        </w:rPr>
        <w:footnoteRef/>
      </w:r>
      <w:r>
        <w:t xml:space="preserve"> Příjmy z poplatku za komunální odpad</w:t>
      </w:r>
    </w:p>
  </w:footnote>
  <w:footnote w:id="4">
    <w:p w:rsidR="009A49E8" w:rsidRDefault="009A49E8" w:rsidP="004536C2">
      <w:pPr>
        <w:pStyle w:val="Textpoznpodarou"/>
      </w:pPr>
      <w:r>
        <w:rPr>
          <w:rStyle w:val="Znakapoznpodarou"/>
        </w:rPr>
        <w:footnoteRef/>
      </w:r>
      <w:r>
        <w:t xml:space="preserve"> Dotace za svoz lékáren od ministerstva financí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8E8D6C"/>
    <w:lvl w:ilvl="0">
      <w:numFmt w:val="decimal"/>
      <w:lvlText w:val="*"/>
      <w:lvlJc w:val="left"/>
    </w:lvl>
  </w:abstractNum>
  <w:abstractNum w:abstractNumId="1" w15:restartNumberingAfterBreak="0">
    <w:nsid w:val="01B94F84"/>
    <w:multiLevelType w:val="hybridMultilevel"/>
    <w:tmpl w:val="F9640668"/>
    <w:lvl w:ilvl="0" w:tplc="F3C69A74">
      <w:start w:val="84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4627EC"/>
    <w:multiLevelType w:val="hybridMultilevel"/>
    <w:tmpl w:val="6420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2E3E64"/>
    <w:multiLevelType w:val="hybridMultilevel"/>
    <w:tmpl w:val="62DAA59C"/>
    <w:lvl w:ilvl="0" w:tplc="E594F3C4">
      <w:numFmt w:val="bullet"/>
      <w:lvlText w:val="-"/>
      <w:lvlJc w:val="left"/>
      <w:pPr>
        <w:ind w:left="1080" w:hanging="360"/>
      </w:pPr>
      <w:rPr>
        <w:rFonts w:ascii="Times New Roman" w:eastAsia="Times New Roman"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51F31E42"/>
    <w:multiLevelType w:val="hybridMultilevel"/>
    <w:tmpl w:val="804A36C2"/>
    <w:lvl w:ilvl="0" w:tplc="A9C67CA0">
      <w:start w:val="84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D415FD8"/>
    <w:multiLevelType w:val="hybridMultilevel"/>
    <w:tmpl w:val="FA2274EE"/>
    <w:lvl w:ilvl="0" w:tplc="EAE62E70">
      <w:start w:val="84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65C34216"/>
    <w:multiLevelType w:val="hybridMultilevel"/>
    <w:tmpl w:val="05E46B5A"/>
    <w:lvl w:ilvl="0" w:tplc="5D0ACBD2">
      <w:start w:val="2"/>
      <w:numFmt w:val="bullet"/>
      <w:lvlText w:val=""/>
      <w:lvlJc w:val="left"/>
      <w:pPr>
        <w:tabs>
          <w:tab w:val="num" w:pos="2490"/>
        </w:tabs>
        <w:ind w:left="2490" w:hanging="360"/>
      </w:pPr>
      <w:rPr>
        <w:rFonts w:ascii="Symbol" w:eastAsia="Times New Roman" w:hAnsi="Symbol" w:cs="Times New Roman" w:hint="default"/>
      </w:rPr>
    </w:lvl>
    <w:lvl w:ilvl="1" w:tplc="04050003" w:tentative="1">
      <w:start w:val="1"/>
      <w:numFmt w:val="bullet"/>
      <w:lvlText w:val="o"/>
      <w:lvlJc w:val="left"/>
      <w:pPr>
        <w:tabs>
          <w:tab w:val="num" w:pos="3210"/>
        </w:tabs>
        <w:ind w:left="3210" w:hanging="360"/>
      </w:pPr>
      <w:rPr>
        <w:rFonts w:ascii="Courier New" w:hAnsi="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7" w15:restartNumberingAfterBreak="0">
    <w:nsid w:val="69D56B71"/>
    <w:multiLevelType w:val="hybridMultilevel"/>
    <w:tmpl w:val="47D62B2C"/>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FC64BAA"/>
    <w:multiLevelType w:val="hybridMultilevel"/>
    <w:tmpl w:val="0164CB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283"/>
        <w:lvlJc w:val="left"/>
        <w:pPr>
          <w:ind w:left="992" w:hanging="283"/>
        </w:pPr>
        <w:rPr>
          <w:rFonts w:ascii="Symbol" w:hAnsi="Symbol" w:cs="Times New Roman" w:hint="default"/>
          <w:sz w:val="20"/>
          <w:szCs w:val="20"/>
        </w:rPr>
      </w:lvl>
    </w:lvlOverride>
  </w:num>
  <w:num w:numId="3">
    <w:abstractNumId w:val="9"/>
  </w:num>
  <w:num w:numId="4">
    <w:abstractNumId w:val="0"/>
    <w:lvlOverride w:ilvl="0">
      <w:lvl w:ilvl="0">
        <w:start w:val="1"/>
        <w:numFmt w:val="bullet"/>
        <w:lvlText w:val=""/>
        <w:legacy w:legacy="1" w:legacySpace="0" w:legacyIndent="283"/>
        <w:lvlJc w:val="left"/>
        <w:pPr>
          <w:ind w:left="425" w:hanging="283"/>
        </w:pPr>
        <w:rPr>
          <w:rFonts w:ascii="Symbol" w:hAnsi="Symbol" w:cs="Times New Roman" w:hint="default"/>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cs="Times New Roman" w:hint="default"/>
          <w:sz w:val="20"/>
          <w:szCs w:val="20"/>
        </w:rPr>
      </w:lvl>
    </w:lvlOverride>
  </w:num>
  <w:num w:numId="6">
    <w:abstractNumId w:val="8"/>
  </w:num>
  <w:num w:numId="7">
    <w:abstractNumId w:val="6"/>
  </w:num>
  <w:num w:numId="8">
    <w:abstractNumId w:val="7"/>
  </w:num>
  <w:num w:numId="9">
    <w:abstractNumId w:val="3"/>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E7"/>
    <w:rsid w:val="000F1913"/>
    <w:rsid w:val="00114158"/>
    <w:rsid w:val="0012767C"/>
    <w:rsid w:val="0016799F"/>
    <w:rsid w:val="002C53F9"/>
    <w:rsid w:val="002F5942"/>
    <w:rsid w:val="00327902"/>
    <w:rsid w:val="003B06B0"/>
    <w:rsid w:val="00426396"/>
    <w:rsid w:val="004536C2"/>
    <w:rsid w:val="004E5CEB"/>
    <w:rsid w:val="00563C93"/>
    <w:rsid w:val="00594D03"/>
    <w:rsid w:val="00611E4E"/>
    <w:rsid w:val="00694188"/>
    <w:rsid w:val="006C23A0"/>
    <w:rsid w:val="006E147D"/>
    <w:rsid w:val="00746856"/>
    <w:rsid w:val="007C08E7"/>
    <w:rsid w:val="007D74E4"/>
    <w:rsid w:val="008D0FE2"/>
    <w:rsid w:val="00973E3C"/>
    <w:rsid w:val="009A49E8"/>
    <w:rsid w:val="00B42FB6"/>
    <w:rsid w:val="00C26331"/>
    <w:rsid w:val="00CE31D7"/>
    <w:rsid w:val="00D96D2E"/>
    <w:rsid w:val="00DC6163"/>
    <w:rsid w:val="00FF4C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A97F9-792F-4342-B9CB-2F179D5A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7C08E7"/>
    <w:pPr>
      <w:keepNext/>
      <w:autoSpaceDE w:val="0"/>
      <w:autoSpaceDN w:val="0"/>
      <w:adjustRightInd w:val="0"/>
      <w:spacing w:after="0" w:line="240" w:lineRule="auto"/>
      <w:jc w:val="both"/>
      <w:outlineLvl w:val="0"/>
    </w:pPr>
    <w:rPr>
      <w:rFonts w:ascii="Arial Unicode MS" w:eastAsia="Times New Roman" w:hAnsi="Arial Unicode MS" w:cs="Arial Unicode MS"/>
      <w:b/>
      <w:bCs/>
      <w:sz w:val="24"/>
      <w:szCs w:val="24"/>
      <w:u w:val="single"/>
      <w:lang w:eastAsia="cs-CZ"/>
    </w:rPr>
  </w:style>
  <w:style w:type="paragraph" w:styleId="Nadpis2">
    <w:name w:val="heading 2"/>
    <w:basedOn w:val="Normln"/>
    <w:next w:val="Normln"/>
    <w:link w:val="Nadpis2Char"/>
    <w:qFormat/>
    <w:rsid w:val="00563C93"/>
    <w:pPr>
      <w:keepNext/>
      <w:autoSpaceDE w:val="0"/>
      <w:autoSpaceDN w:val="0"/>
      <w:adjustRightInd w:val="0"/>
      <w:spacing w:after="0" w:line="240" w:lineRule="auto"/>
      <w:jc w:val="center"/>
      <w:outlineLvl w:val="1"/>
    </w:pPr>
    <w:rPr>
      <w:rFonts w:ascii="Arial Unicode MS" w:eastAsia="Times New Roman" w:hAnsi="Arial Unicode MS" w:cs="Arial Unicode MS"/>
      <w:b/>
      <w:bCs/>
      <w:color w:val="000000"/>
      <w:sz w:val="20"/>
      <w:szCs w:val="20"/>
      <w:lang w:eastAsia="cs-CZ"/>
    </w:rPr>
  </w:style>
  <w:style w:type="paragraph" w:styleId="Nadpis3">
    <w:name w:val="heading 3"/>
    <w:basedOn w:val="Normln"/>
    <w:next w:val="Normln"/>
    <w:link w:val="Nadpis3Char"/>
    <w:qFormat/>
    <w:rsid w:val="00563C93"/>
    <w:pPr>
      <w:keepNext/>
      <w:autoSpaceDE w:val="0"/>
      <w:autoSpaceDN w:val="0"/>
      <w:adjustRightInd w:val="0"/>
      <w:spacing w:after="0" w:line="240" w:lineRule="auto"/>
      <w:ind w:left="-530"/>
      <w:jc w:val="center"/>
      <w:outlineLvl w:val="2"/>
    </w:pPr>
    <w:rPr>
      <w:rFonts w:ascii="Arial Unicode MS" w:eastAsia="Times New Roman" w:hAnsi="Arial Unicode MS" w:cs="Arial Unicode MS"/>
      <w:b/>
      <w:bCs/>
      <w:i/>
      <w:iCs/>
      <w:sz w:val="20"/>
      <w:szCs w:val="20"/>
      <w:lang w:eastAsia="cs-CZ"/>
    </w:rPr>
  </w:style>
  <w:style w:type="paragraph" w:styleId="Nadpis4">
    <w:name w:val="heading 4"/>
    <w:basedOn w:val="Normln"/>
    <w:next w:val="Normln"/>
    <w:link w:val="Nadpis4Char"/>
    <w:unhideWhenUsed/>
    <w:qFormat/>
    <w:rsid w:val="00563C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qFormat/>
    <w:rsid w:val="00563C93"/>
    <w:pPr>
      <w:keepNext/>
      <w:autoSpaceDE w:val="0"/>
      <w:autoSpaceDN w:val="0"/>
      <w:adjustRightInd w:val="0"/>
      <w:spacing w:after="0" w:line="240" w:lineRule="auto"/>
      <w:outlineLvl w:val="4"/>
    </w:pPr>
    <w:rPr>
      <w:rFonts w:ascii="Arial Unicode MS" w:eastAsia="Times New Roman" w:hAnsi="Arial Unicode MS" w:cs="Arial Unicode MS"/>
      <w:lang w:eastAsia="cs-CZ"/>
    </w:rPr>
  </w:style>
  <w:style w:type="paragraph" w:styleId="Nadpis6">
    <w:name w:val="heading 6"/>
    <w:basedOn w:val="Normln"/>
    <w:next w:val="Normln"/>
    <w:link w:val="Nadpis6Char"/>
    <w:unhideWhenUsed/>
    <w:qFormat/>
    <w:rsid w:val="00563C93"/>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nhideWhenUsed/>
    <w:qFormat/>
    <w:rsid w:val="00563C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nhideWhenUsed/>
    <w:qFormat/>
    <w:rsid w:val="00563C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qFormat/>
    <w:rsid w:val="00563C93"/>
    <w:pPr>
      <w:keepNext/>
      <w:autoSpaceDE w:val="0"/>
      <w:autoSpaceDN w:val="0"/>
      <w:adjustRightInd w:val="0"/>
      <w:spacing w:after="0" w:line="240" w:lineRule="auto"/>
      <w:outlineLvl w:val="8"/>
    </w:pPr>
    <w:rPr>
      <w:rFonts w:ascii="Arial Unicode MS" w:eastAsia="Times New Roman" w:hAnsi="Arial Unicode MS" w:cs="Arial Unicode MS"/>
      <w:b/>
      <w:b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C08E7"/>
    <w:rPr>
      <w:rFonts w:ascii="Arial Unicode MS" w:eastAsia="Times New Roman" w:hAnsi="Arial Unicode MS" w:cs="Arial Unicode MS"/>
      <w:b/>
      <w:bCs/>
      <w:sz w:val="24"/>
      <w:szCs w:val="24"/>
      <w:u w:val="single"/>
      <w:lang w:eastAsia="cs-CZ"/>
    </w:rPr>
  </w:style>
  <w:style w:type="paragraph" w:styleId="Zkladntext3">
    <w:name w:val="Body Text 3"/>
    <w:basedOn w:val="Normln"/>
    <w:link w:val="Zkladntext3Char"/>
    <w:semiHidden/>
    <w:rsid w:val="004536C2"/>
    <w:pPr>
      <w:overflowPunct w:val="0"/>
      <w:autoSpaceDE w:val="0"/>
      <w:autoSpaceDN w:val="0"/>
      <w:adjustRightInd w:val="0"/>
      <w:spacing w:after="0" w:line="240" w:lineRule="auto"/>
      <w:jc w:val="both"/>
      <w:textAlignment w:val="baseline"/>
    </w:pPr>
    <w:rPr>
      <w:rFonts w:ascii="Arial Unicode MS" w:eastAsia="Times New Roman" w:hAnsi="Arial Unicode MS" w:cs="Arial Unicode MS"/>
      <w:lang w:eastAsia="cs-CZ"/>
    </w:rPr>
  </w:style>
  <w:style w:type="character" w:customStyle="1" w:styleId="Zkladntext3Char">
    <w:name w:val="Základní text 3 Char"/>
    <w:basedOn w:val="Standardnpsmoodstavce"/>
    <w:link w:val="Zkladntext3"/>
    <w:semiHidden/>
    <w:rsid w:val="004536C2"/>
    <w:rPr>
      <w:rFonts w:ascii="Arial Unicode MS" w:eastAsia="Times New Roman" w:hAnsi="Arial Unicode MS" w:cs="Arial Unicode MS"/>
      <w:lang w:eastAsia="cs-CZ"/>
    </w:rPr>
  </w:style>
  <w:style w:type="paragraph" w:customStyle="1" w:styleId="BodyText31">
    <w:name w:val="Body Text 31"/>
    <w:basedOn w:val="Normln"/>
    <w:rsid w:val="004536C2"/>
    <w:pPr>
      <w:autoSpaceDE w:val="0"/>
      <w:autoSpaceDN w:val="0"/>
      <w:adjustRightInd w:val="0"/>
      <w:spacing w:after="0" w:line="240" w:lineRule="auto"/>
      <w:jc w:val="both"/>
    </w:pPr>
    <w:rPr>
      <w:rFonts w:ascii="Arial Unicode MS" w:eastAsia="Times New Roman" w:hAnsi="Arial Unicode MS" w:cs="Arial Unicode MS"/>
      <w:lang w:eastAsia="cs-CZ"/>
    </w:rPr>
  </w:style>
  <w:style w:type="paragraph" w:styleId="Zkladntextodsazen">
    <w:name w:val="Body Text Indent"/>
    <w:basedOn w:val="Normln"/>
    <w:link w:val="ZkladntextodsazenChar"/>
    <w:semiHidden/>
    <w:unhideWhenUsed/>
    <w:rsid w:val="004536C2"/>
    <w:pPr>
      <w:spacing w:after="120"/>
      <w:ind w:left="283"/>
    </w:pPr>
  </w:style>
  <w:style w:type="character" w:customStyle="1" w:styleId="ZkladntextodsazenChar">
    <w:name w:val="Základní text odsazený Char"/>
    <w:basedOn w:val="Standardnpsmoodstavce"/>
    <w:link w:val="Zkladntextodsazen"/>
    <w:uiPriority w:val="99"/>
    <w:semiHidden/>
    <w:rsid w:val="004536C2"/>
  </w:style>
  <w:style w:type="paragraph" w:styleId="Textpoznpodarou">
    <w:name w:val="footnote text"/>
    <w:basedOn w:val="Normln"/>
    <w:link w:val="TextpoznpodarouChar"/>
    <w:uiPriority w:val="99"/>
    <w:semiHidden/>
    <w:unhideWhenUsed/>
    <w:rsid w:val="004536C2"/>
    <w:pPr>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36C2"/>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4536C2"/>
    <w:rPr>
      <w:vertAlign w:val="superscript"/>
    </w:rPr>
  </w:style>
  <w:style w:type="character" w:customStyle="1" w:styleId="Nadpis4Char">
    <w:name w:val="Nadpis 4 Char"/>
    <w:basedOn w:val="Standardnpsmoodstavce"/>
    <w:link w:val="Nadpis4"/>
    <w:uiPriority w:val="9"/>
    <w:semiHidden/>
    <w:rsid w:val="00563C93"/>
    <w:rPr>
      <w:rFonts w:asciiTheme="majorHAnsi" w:eastAsiaTheme="majorEastAsia" w:hAnsiTheme="majorHAnsi" w:cstheme="majorBidi"/>
      <w:i/>
      <w:iCs/>
      <w:color w:val="2E74B5" w:themeColor="accent1" w:themeShade="BF"/>
    </w:rPr>
  </w:style>
  <w:style w:type="character" w:customStyle="1" w:styleId="Nadpis6Char">
    <w:name w:val="Nadpis 6 Char"/>
    <w:basedOn w:val="Standardnpsmoodstavce"/>
    <w:link w:val="Nadpis6"/>
    <w:uiPriority w:val="9"/>
    <w:semiHidden/>
    <w:rsid w:val="00563C9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563C9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563C93"/>
    <w:rPr>
      <w:rFonts w:asciiTheme="majorHAnsi" w:eastAsiaTheme="majorEastAsia" w:hAnsiTheme="majorHAnsi" w:cstheme="majorBidi"/>
      <w:color w:val="272727" w:themeColor="text1" w:themeTint="D8"/>
      <w:sz w:val="21"/>
      <w:szCs w:val="21"/>
    </w:rPr>
  </w:style>
  <w:style w:type="paragraph" w:styleId="Zkladntext">
    <w:name w:val="Body Text"/>
    <w:basedOn w:val="Normln"/>
    <w:link w:val="ZkladntextChar"/>
    <w:semiHidden/>
    <w:unhideWhenUsed/>
    <w:rsid w:val="00563C93"/>
    <w:pPr>
      <w:spacing w:after="120"/>
    </w:pPr>
  </w:style>
  <w:style w:type="character" w:customStyle="1" w:styleId="ZkladntextChar">
    <w:name w:val="Základní text Char"/>
    <w:basedOn w:val="Standardnpsmoodstavce"/>
    <w:link w:val="Zkladntext"/>
    <w:uiPriority w:val="99"/>
    <w:semiHidden/>
    <w:rsid w:val="00563C93"/>
  </w:style>
  <w:style w:type="paragraph" w:styleId="Zkladntextodsazen3">
    <w:name w:val="Body Text Indent 3"/>
    <w:basedOn w:val="Normln"/>
    <w:link w:val="Zkladntextodsazen3Char"/>
    <w:semiHidden/>
    <w:unhideWhenUsed/>
    <w:rsid w:val="00563C9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63C93"/>
    <w:rPr>
      <w:sz w:val="16"/>
      <w:szCs w:val="16"/>
    </w:rPr>
  </w:style>
  <w:style w:type="paragraph" w:styleId="Zkladntextodsazen2">
    <w:name w:val="Body Text Indent 2"/>
    <w:basedOn w:val="Normln"/>
    <w:link w:val="Zkladntextodsazen2Char"/>
    <w:semiHidden/>
    <w:unhideWhenUsed/>
    <w:rsid w:val="00563C9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63C93"/>
  </w:style>
  <w:style w:type="character" w:customStyle="1" w:styleId="Nadpis2Char">
    <w:name w:val="Nadpis 2 Char"/>
    <w:basedOn w:val="Standardnpsmoodstavce"/>
    <w:link w:val="Nadpis2"/>
    <w:rsid w:val="00563C93"/>
    <w:rPr>
      <w:rFonts w:ascii="Arial Unicode MS" w:eastAsia="Times New Roman" w:hAnsi="Arial Unicode MS" w:cs="Arial Unicode MS"/>
      <w:b/>
      <w:bCs/>
      <w:color w:val="000000"/>
      <w:sz w:val="20"/>
      <w:szCs w:val="20"/>
      <w:lang w:eastAsia="cs-CZ"/>
    </w:rPr>
  </w:style>
  <w:style w:type="character" w:customStyle="1" w:styleId="Nadpis3Char">
    <w:name w:val="Nadpis 3 Char"/>
    <w:basedOn w:val="Standardnpsmoodstavce"/>
    <w:link w:val="Nadpis3"/>
    <w:rsid w:val="00563C93"/>
    <w:rPr>
      <w:rFonts w:ascii="Arial Unicode MS" w:eastAsia="Times New Roman" w:hAnsi="Arial Unicode MS" w:cs="Arial Unicode MS"/>
      <w:b/>
      <w:bCs/>
      <w:i/>
      <w:iCs/>
      <w:sz w:val="20"/>
      <w:szCs w:val="20"/>
      <w:lang w:eastAsia="cs-CZ"/>
    </w:rPr>
  </w:style>
  <w:style w:type="character" w:customStyle="1" w:styleId="Nadpis5Char">
    <w:name w:val="Nadpis 5 Char"/>
    <w:basedOn w:val="Standardnpsmoodstavce"/>
    <w:link w:val="Nadpis5"/>
    <w:rsid w:val="00563C93"/>
    <w:rPr>
      <w:rFonts w:ascii="Arial Unicode MS" w:eastAsia="Times New Roman" w:hAnsi="Arial Unicode MS" w:cs="Arial Unicode MS"/>
      <w:lang w:eastAsia="cs-CZ"/>
    </w:rPr>
  </w:style>
  <w:style w:type="character" w:customStyle="1" w:styleId="Nadpis9Char">
    <w:name w:val="Nadpis 9 Char"/>
    <w:basedOn w:val="Standardnpsmoodstavce"/>
    <w:link w:val="Nadpis9"/>
    <w:rsid w:val="00563C93"/>
    <w:rPr>
      <w:rFonts w:ascii="Arial Unicode MS" w:eastAsia="Times New Roman" w:hAnsi="Arial Unicode MS" w:cs="Arial Unicode MS"/>
      <w:b/>
      <w:bCs/>
      <w:sz w:val="18"/>
      <w:szCs w:val="18"/>
      <w:lang w:eastAsia="cs-CZ"/>
    </w:rPr>
  </w:style>
  <w:style w:type="numbering" w:customStyle="1" w:styleId="Bezseznamu1">
    <w:name w:val="Bez seznamu1"/>
    <w:next w:val="Bezseznamu"/>
    <w:uiPriority w:val="99"/>
    <w:semiHidden/>
    <w:unhideWhenUsed/>
    <w:rsid w:val="00563C93"/>
  </w:style>
  <w:style w:type="paragraph" w:customStyle="1" w:styleId="BodyText25">
    <w:name w:val="Body Text 25"/>
    <w:basedOn w:val="Normln"/>
    <w:rsid w:val="00563C93"/>
    <w:pPr>
      <w:autoSpaceDE w:val="0"/>
      <w:autoSpaceDN w:val="0"/>
      <w:adjustRightInd w:val="0"/>
      <w:spacing w:after="0" w:line="240" w:lineRule="auto"/>
      <w:jc w:val="both"/>
    </w:pPr>
    <w:rPr>
      <w:rFonts w:ascii="Arial Unicode MS" w:eastAsia="Times New Roman" w:hAnsi="Arial Unicode MS" w:cs="Arial Unicode MS"/>
      <w:sz w:val="24"/>
      <w:szCs w:val="24"/>
      <w:lang w:eastAsia="cs-CZ"/>
    </w:rPr>
  </w:style>
  <w:style w:type="character" w:styleId="Hypertextovodkaz">
    <w:name w:val="Hyperlink"/>
    <w:semiHidden/>
    <w:rsid w:val="00563C93"/>
    <w:rPr>
      <w:color w:val="0000FF"/>
      <w:u w:val="single"/>
    </w:rPr>
  </w:style>
  <w:style w:type="paragraph" w:customStyle="1" w:styleId="BodyText24">
    <w:name w:val="Body Text 24"/>
    <w:basedOn w:val="Normln"/>
    <w:rsid w:val="00563C93"/>
    <w:pPr>
      <w:autoSpaceDE w:val="0"/>
      <w:autoSpaceDN w:val="0"/>
      <w:adjustRightInd w:val="0"/>
      <w:spacing w:after="0" w:line="240" w:lineRule="auto"/>
      <w:ind w:left="709"/>
      <w:jc w:val="both"/>
    </w:pPr>
    <w:rPr>
      <w:rFonts w:ascii="Arial Unicode MS" w:eastAsia="Times New Roman" w:hAnsi="Arial Unicode MS" w:cs="Arial Unicode MS"/>
      <w:lang w:eastAsia="cs-CZ"/>
    </w:rPr>
  </w:style>
  <w:style w:type="paragraph" w:customStyle="1" w:styleId="BodyText23">
    <w:name w:val="Body Text 23"/>
    <w:basedOn w:val="Normln"/>
    <w:rsid w:val="00563C93"/>
    <w:pPr>
      <w:autoSpaceDE w:val="0"/>
      <w:autoSpaceDN w:val="0"/>
      <w:adjustRightInd w:val="0"/>
      <w:spacing w:after="0" w:line="240" w:lineRule="auto"/>
      <w:jc w:val="both"/>
    </w:pPr>
    <w:rPr>
      <w:rFonts w:ascii="Arial Unicode MS" w:eastAsia="Times New Roman" w:hAnsi="Arial Unicode MS" w:cs="Arial Unicode MS"/>
      <w:b/>
      <w:bCs/>
      <w:lang w:eastAsia="cs-CZ"/>
    </w:rPr>
  </w:style>
  <w:style w:type="paragraph" w:styleId="Zhlav">
    <w:name w:val="header"/>
    <w:basedOn w:val="Normln"/>
    <w:link w:val="Zhlav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563C93"/>
    <w:rPr>
      <w:rFonts w:ascii="Times New Roman" w:eastAsia="Times New Roman" w:hAnsi="Times New Roman" w:cs="Times New Roman"/>
      <w:sz w:val="20"/>
      <w:szCs w:val="20"/>
      <w:lang w:eastAsia="cs-CZ"/>
    </w:rPr>
  </w:style>
  <w:style w:type="paragraph" w:styleId="Zpat">
    <w:name w:val="footer"/>
    <w:basedOn w:val="Normln"/>
    <w:link w:val="Zpat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semiHidden/>
    <w:rsid w:val="00563C93"/>
    <w:rPr>
      <w:rFonts w:ascii="Times New Roman" w:eastAsia="Times New Roman" w:hAnsi="Times New Roman" w:cs="Times New Roman"/>
      <w:sz w:val="20"/>
      <w:szCs w:val="20"/>
      <w:lang w:eastAsia="cs-CZ"/>
    </w:rPr>
  </w:style>
  <w:style w:type="paragraph" w:customStyle="1" w:styleId="BodyText22">
    <w:name w:val="Body Text 22"/>
    <w:basedOn w:val="Normln"/>
    <w:rsid w:val="00563C93"/>
    <w:pPr>
      <w:autoSpaceDE w:val="0"/>
      <w:autoSpaceDN w:val="0"/>
      <w:adjustRightInd w:val="0"/>
      <w:spacing w:after="0" w:line="240" w:lineRule="auto"/>
    </w:pPr>
    <w:rPr>
      <w:rFonts w:ascii="Arial Unicode MS" w:eastAsia="Times New Roman" w:hAnsi="Arial Unicode MS" w:cs="Arial Unicode MS"/>
      <w:b/>
      <w:bCs/>
      <w:caps/>
      <w:lang w:eastAsia="cs-CZ"/>
    </w:rPr>
  </w:style>
  <w:style w:type="character" w:styleId="slostrnky">
    <w:name w:val="page number"/>
    <w:basedOn w:val="Standardnpsmoodstavce"/>
    <w:semiHidden/>
    <w:rsid w:val="00563C93"/>
  </w:style>
  <w:style w:type="paragraph" w:customStyle="1" w:styleId="BodyText21">
    <w:name w:val="Body Text 21"/>
    <w:basedOn w:val="Normln"/>
    <w:rsid w:val="00563C93"/>
    <w:pPr>
      <w:tabs>
        <w:tab w:val="left" w:pos="851"/>
      </w:tabs>
      <w:autoSpaceDE w:val="0"/>
      <w:autoSpaceDN w:val="0"/>
      <w:adjustRightInd w:val="0"/>
      <w:spacing w:after="0" w:line="240" w:lineRule="auto"/>
      <w:ind w:left="851" w:hanging="142"/>
      <w:jc w:val="both"/>
    </w:pPr>
    <w:rPr>
      <w:rFonts w:ascii="Arial Unicode MS" w:eastAsia="Times New Roman" w:hAnsi="Arial Unicode MS" w:cs="Arial Unicode MS"/>
      <w:lang w:eastAsia="cs-CZ"/>
    </w:rPr>
  </w:style>
  <w:style w:type="character" w:styleId="Sledovanodkaz">
    <w:name w:val="FollowedHyperlink"/>
    <w:semiHidden/>
    <w:rsid w:val="00563C93"/>
    <w:rPr>
      <w:color w:val="800080"/>
      <w:u w:val="single"/>
    </w:rPr>
  </w:style>
  <w:style w:type="character" w:styleId="Siln">
    <w:name w:val="Strong"/>
    <w:qFormat/>
    <w:rsid w:val="00563C93"/>
    <w:rPr>
      <w:b/>
      <w:bCs/>
    </w:rPr>
  </w:style>
  <w:style w:type="paragraph" w:styleId="Textkomente">
    <w:name w:val="annotation text"/>
    <w:basedOn w:val="Normln"/>
    <w:link w:val="TextkomenteChar"/>
    <w:semiHidden/>
    <w:rsid w:val="00563C9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563C9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63C93"/>
    <w:pPr>
      <w:autoSpaceDE w:val="0"/>
      <w:autoSpaceDN w:val="0"/>
      <w:adjustRightInd w:val="0"/>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563C93"/>
    <w:rPr>
      <w:rFonts w:ascii="Tahoma" w:eastAsia="Times New Roman" w:hAnsi="Tahoma" w:cs="Tahoma"/>
      <w:sz w:val="16"/>
      <w:szCs w:val="16"/>
      <w:lang w:eastAsia="cs-CZ"/>
    </w:rPr>
  </w:style>
  <w:style w:type="paragraph" w:styleId="Zkladntext2">
    <w:name w:val="Body Text 2"/>
    <w:basedOn w:val="Normln"/>
    <w:link w:val="Zkladntext2Char"/>
    <w:semiHidden/>
    <w:rsid w:val="00563C93"/>
    <w:pPr>
      <w:autoSpaceDE w:val="0"/>
      <w:autoSpaceDN w:val="0"/>
      <w:adjustRightInd w:val="0"/>
      <w:spacing w:after="0" w:line="240" w:lineRule="auto"/>
      <w:jc w:val="both"/>
    </w:pPr>
    <w:rPr>
      <w:rFonts w:ascii="Arial" w:eastAsia="Times New Roman" w:hAnsi="Arial" w:cs="Arial"/>
      <w:b/>
      <w:bCs/>
      <w:sz w:val="20"/>
      <w:lang w:eastAsia="cs-CZ"/>
    </w:rPr>
  </w:style>
  <w:style w:type="character" w:customStyle="1" w:styleId="Zkladntext2Char">
    <w:name w:val="Základní text 2 Char"/>
    <w:basedOn w:val="Standardnpsmoodstavce"/>
    <w:link w:val="Zkladntext2"/>
    <w:semiHidden/>
    <w:rsid w:val="00563C93"/>
    <w:rPr>
      <w:rFonts w:ascii="Arial" w:eastAsia="Times New Roman" w:hAnsi="Arial" w:cs="Arial"/>
      <w:b/>
      <w:bCs/>
      <w:sz w:val="20"/>
      <w:lang w:eastAsia="cs-CZ"/>
    </w:rPr>
  </w:style>
  <w:style w:type="character" w:styleId="Odkaznakoment">
    <w:name w:val="annotation reference"/>
    <w:uiPriority w:val="99"/>
    <w:semiHidden/>
    <w:unhideWhenUsed/>
    <w:rsid w:val="00563C93"/>
    <w:rPr>
      <w:sz w:val="16"/>
      <w:szCs w:val="16"/>
    </w:rPr>
  </w:style>
  <w:style w:type="paragraph" w:styleId="Pedmtkomente">
    <w:name w:val="annotation subject"/>
    <w:basedOn w:val="Textkomente"/>
    <w:next w:val="Textkomente"/>
    <w:link w:val="PedmtkomenteChar"/>
    <w:uiPriority w:val="99"/>
    <w:semiHidden/>
    <w:unhideWhenUsed/>
    <w:rsid w:val="00563C93"/>
    <w:pPr>
      <w:overflowPunct/>
      <w:spacing w:before="0" w:after="0"/>
      <w:jc w:val="left"/>
      <w:textAlignment w:val="auto"/>
    </w:pPr>
    <w:rPr>
      <w:b/>
      <w:bCs/>
      <w:lang w:val="x-none" w:eastAsia="x-none"/>
    </w:rPr>
  </w:style>
  <w:style w:type="character" w:customStyle="1" w:styleId="PedmtkomenteChar">
    <w:name w:val="Předmět komentáře Char"/>
    <w:basedOn w:val="TextkomenteChar"/>
    <w:link w:val="Pedmtkomente"/>
    <w:uiPriority w:val="99"/>
    <w:semiHidden/>
    <w:rsid w:val="00563C93"/>
    <w:rPr>
      <w:rFonts w:ascii="Times New Roman" w:eastAsia="Times New Roman" w:hAnsi="Times New Roman" w:cs="Times New Roman"/>
      <w:b/>
      <w:bCs/>
      <w:sz w:val="20"/>
      <w:szCs w:val="20"/>
      <w:lang w:val="x-none" w:eastAsia="x-none"/>
    </w:rPr>
  </w:style>
  <w:style w:type="paragraph" w:styleId="Revize">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E5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000xz003180\Desktop\Ro&#269;enky\tabulky%20a%20diagram.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000xz003180\Desktop\Ro&#269;enky\tabulky%20a%20diagram.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TO!$B$1</c:f>
              <c:strCache>
                <c:ptCount val="1"/>
                <c:pt idx="0">
                  <c:v>papír</c:v>
                </c:pt>
              </c:strCache>
            </c:strRef>
          </c:tx>
          <c:invertIfNegative val="0"/>
          <c:cat>
            <c:numRef>
              <c:f>TO!$A$3:$A$21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TO!$B$3:$B$21</c:f>
              <c:numCache>
                <c:formatCode>#,##0</c:formatCode>
                <c:ptCount val="19"/>
                <c:pt idx="0">
                  <c:v>3983</c:v>
                </c:pt>
                <c:pt idx="1">
                  <c:v>8205</c:v>
                </c:pt>
                <c:pt idx="2">
                  <c:v>11152</c:v>
                </c:pt>
                <c:pt idx="3">
                  <c:v>11501</c:v>
                </c:pt>
                <c:pt idx="4">
                  <c:v>13738</c:v>
                </c:pt>
                <c:pt idx="5">
                  <c:v>16097</c:v>
                </c:pt>
                <c:pt idx="6">
                  <c:v>18003</c:v>
                </c:pt>
                <c:pt idx="7">
                  <c:v>19214</c:v>
                </c:pt>
                <c:pt idx="8">
                  <c:v>22244</c:v>
                </c:pt>
                <c:pt idx="9">
                  <c:v>23711</c:v>
                </c:pt>
                <c:pt idx="10">
                  <c:v>26732</c:v>
                </c:pt>
                <c:pt idx="11">
                  <c:v>28128</c:v>
                </c:pt>
                <c:pt idx="12">
                  <c:v>26162</c:v>
                </c:pt>
                <c:pt idx="13">
                  <c:v>22636</c:v>
                </c:pt>
                <c:pt idx="14">
                  <c:v>22360</c:v>
                </c:pt>
                <c:pt idx="15">
                  <c:v>22299</c:v>
                </c:pt>
                <c:pt idx="16">
                  <c:v>21207</c:v>
                </c:pt>
                <c:pt idx="17">
                  <c:v>20632.62</c:v>
                </c:pt>
                <c:pt idx="18">
                  <c:v>21426</c:v>
                </c:pt>
              </c:numCache>
            </c:numRef>
          </c:val>
        </c:ser>
        <c:ser>
          <c:idx val="1"/>
          <c:order val="1"/>
          <c:tx>
            <c:strRef>
              <c:f>TO!$C$1</c:f>
              <c:strCache>
                <c:ptCount val="1"/>
                <c:pt idx="0">
                  <c:v>sklo barevné</c:v>
                </c:pt>
              </c:strCache>
            </c:strRef>
          </c:tx>
          <c:spPr>
            <a:solidFill>
              <a:srgbClr val="92D050"/>
            </a:solidFill>
          </c:spPr>
          <c:invertIfNegative val="0"/>
          <c:cat>
            <c:numRef>
              <c:f>TO!$A$3:$A$21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TO!$C$3:$C$21</c:f>
              <c:numCache>
                <c:formatCode>#,##0</c:formatCode>
                <c:ptCount val="19"/>
                <c:pt idx="0">
                  <c:v>2248</c:v>
                </c:pt>
                <c:pt idx="1">
                  <c:v>3018</c:v>
                </c:pt>
                <c:pt idx="2">
                  <c:v>5039</c:v>
                </c:pt>
                <c:pt idx="3">
                  <c:v>6016</c:v>
                </c:pt>
                <c:pt idx="4">
                  <c:v>6711</c:v>
                </c:pt>
                <c:pt idx="5">
                  <c:v>7436</c:v>
                </c:pt>
                <c:pt idx="6">
                  <c:v>7909</c:v>
                </c:pt>
                <c:pt idx="7">
                  <c:v>8399</c:v>
                </c:pt>
                <c:pt idx="8">
                  <c:v>9119</c:v>
                </c:pt>
                <c:pt idx="9">
                  <c:v>10425</c:v>
                </c:pt>
                <c:pt idx="10">
                  <c:v>11805</c:v>
                </c:pt>
                <c:pt idx="11">
                  <c:v>11615</c:v>
                </c:pt>
                <c:pt idx="12">
                  <c:v>12090</c:v>
                </c:pt>
                <c:pt idx="13">
                  <c:v>11955</c:v>
                </c:pt>
                <c:pt idx="14">
                  <c:v>12367</c:v>
                </c:pt>
                <c:pt idx="15">
                  <c:v>12451</c:v>
                </c:pt>
                <c:pt idx="16">
                  <c:v>11771</c:v>
                </c:pt>
                <c:pt idx="17">
                  <c:v>11851</c:v>
                </c:pt>
                <c:pt idx="18">
                  <c:v>13282</c:v>
                </c:pt>
              </c:numCache>
            </c:numRef>
          </c:val>
        </c:ser>
        <c:ser>
          <c:idx val="2"/>
          <c:order val="2"/>
          <c:tx>
            <c:strRef>
              <c:f>TO!$D$1</c:f>
              <c:strCache>
                <c:ptCount val="1"/>
                <c:pt idx="0">
                  <c:v>sklo čiré </c:v>
                </c:pt>
              </c:strCache>
            </c:strRef>
          </c:tx>
          <c:spPr>
            <a:solidFill>
              <a:schemeClr val="bg1">
                <a:lumMod val="95000"/>
              </a:schemeClr>
            </a:solidFill>
          </c:spPr>
          <c:invertIfNegative val="0"/>
          <c:cat>
            <c:numRef>
              <c:f>TO!$A$3:$A$21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TO!$D$3:$D$21</c:f>
              <c:numCache>
                <c:formatCode>General</c:formatCode>
                <c:ptCount val="19"/>
                <c:pt idx="6">
                  <c:v>2</c:v>
                </c:pt>
                <c:pt idx="7">
                  <c:v>432</c:v>
                </c:pt>
                <c:pt idx="8">
                  <c:v>828</c:v>
                </c:pt>
                <c:pt idx="9">
                  <c:v>996</c:v>
                </c:pt>
                <c:pt idx="10" formatCode="#,##0">
                  <c:v>1529</c:v>
                </c:pt>
                <c:pt idx="11" formatCode="#,##0">
                  <c:v>2206</c:v>
                </c:pt>
                <c:pt idx="12" formatCode="#,##0">
                  <c:v>2509</c:v>
                </c:pt>
                <c:pt idx="13" formatCode="#,##0">
                  <c:v>3235</c:v>
                </c:pt>
                <c:pt idx="14" formatCode="#,##0">
                  <c:v>3490</c:v>
                </c:pt>
                <c:pt idx="15" formatCode="#,##0">
                  <c:v>3490</c:v>
                </c:pt>
                <c:pt idx="16" formatCode="#,##0">
                  <c:v>3464</c:v>
                </c:pt>
                <c:pt idx="17" formatCode="#,##0">
                  <c:v>3572</c:v>
                </c:pt>
                <c:pt idx="18" formatCode="#,##0">
                  <c:v>3402</c:v>
                </c:pt>
              </c:numCache>
            </c:numRef>
          </c:val>
        </c:ser>
        <c:ser>
          <c:idx val="3"/>
          <c:order val="3"/>
          <c:tx>
            <c:strRef>
              <c:f>TO!$E$1</c:f>
              <c:strCache>
                <c:ptCount val="1"/>
                <c:pt idx="0">
                  <c:v>plasty</c:v>
                </c:pt>
              </c:strCache>
            </c:strRef>
          </c:tx>
          <c:spPr>
            <a:solidFill>
              <a:srgbClr val="FFFF00"/>
            </a:solidFill>
          </c:spPr>
          <c:invertIfNegative val="0"/>
          <c:cat>
            <c:numRef>
              <c:f>TO!$A$3:$A$21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TO!$E$3:$E$21</c:f>
              <c:numCache>
                <c:formatCode>#,##0</c:formatCode>
                <c:ptCount val="19"/>
                <c:pt idx="0" formatCode="General">
                  <c:v>684</c:v>
                </c:pt>
                <c:pt idx="1">
                  <c:v>2172</c:v>
                </c:pt>
                <c:pt idx="2">
                  <c:v>3586</c:v>
                </c:pt>
                <c:pt idx="3">
                  <c:v>4623</c:v>
                </c:pt>
                <c:pt idx="4">
                  <c:v>5081</c:v>
                </c:pt>
                <c:pt idx="5">
                  <c:v>6040</c:v>
                </c:pt>
                <c:pt idx="6">
                  <c:v>6596</c:v>
                </c:pt>
                <c:pt idx="7">
                  <c:v>7164</c:v>
                </c:pt>
                <c:pt idx="8">
                  <c:v>8114</c:v>
                </c:pt>
                <c:pt idx="9">
                  <c:v>9643</c:v>
                </c:pt>
                <c:pt idx="10">
                  <c:v>10609</c:v>
                </c:pt>
                <c:pt idx="11">
                  <c:v>10675</c:v>
                </c:pt>
                <c:pt idx="12">
                  <c:v>10956</c:v>
                </c:pt>
                <c:pt idx="13">
                  <c:v>11594</c:v>
                </c:pt>
                <c:pt idx="14">
                  <c:v>11904</c:v>
                </c:pt>
                <c:pt idx="15">
                  <c:v>12042</c:v>
                </c:pt>
                <c:pt idx="16">
                  <c:v>11950</c:v>
                </c:pt>
                <c:pt idx="17">
                  <c:v>12546</c:v>
                </c:pt>
                <c:pt idx="18">
                  <c:v>12827</c:v>
                </c:pt>
              </c:numCache>
            </c:numRef>
          </c:val>
        </c:ser>
        <c:ser>
          <c:idx val="4"/>
          <c:order val="4"/>
          <c:tx>
            <c:strRef>
              <c:f>TO!$F$1</c:f>
              <c:strCache>
                <c:ptCount val="1"/>
                <c:pt idx="0">
                  <c:v>nápojové kartony</c:v>
                </c:pt>
              </c:strCache>
            </c:strRef>
          </c:tx>
          <c:spPr>
            <a:solidFill>
              <a:srgbClr val="C35D09"/>
            </a:solidFill>
          </c:spPr>
          <c:invertIfNegative val="0"/>
          <c:cat>
            <c:numRef>
              <c:f>TO!$A$3:$A$21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TO!$F$3:$F$21</c:f>
              <c:numCache>
                <c:formatCode>General</c:formatCode>
                <c:ptCount val="19"/>
                <c:pt idx="6">
                  <c:v>9</c:v>
                </c:pt>
                <c:pt idx="7">
                  <c:v>171</c:v>
                </c:pt>
                <c:pt idx="8">
                  <c:v>424</c:v>
                </c:pt>
                <c:pt idx="9">
                  <c:v>536</c:v>
                </c:pt>
                <c:pt idx="10">
                  <c:v>701</c:v>
                </c:pt>
                <c:pt idx="11">
                  <c:v>794</c:v>
                </c:pt>
                <c:pt idx="12">
                  <c:v>835</c:v>
                </c:pt>
                <c:pt idx="13">
                  <c:v>828</c:v>
                </c:pt>
                <c:pt idx="14">
                  <c:v>814</c:v>
                </c:pt>
                <c:pt idx="15">
                  <c:v>870</c:v>
                </c:pt>
                <c:pt idx="16">
                  <c:v>897</c:v>
                </c:pt>
                <c:pt idx="17">
                  <c:v>895</c:v>
                </c:pt>
                <c:pt idx="18">
                  <c:v>937</c:v>
                </c:pt>
              </c:numCache>
            </c:numRef>
          </c:val>
        </c:ser>
        <c:ser>
          <c:idx val="5"/>
          <c:order val="5"/>
          <c:tx>
            <c:strRef>
              <c:f>TO!$G$1</c:f>
              <c:strCache>
                <c:ptCount val="1"/>
                <c:pt idx="0">
                  <c:v>Kovové obaly</c:v>
                </c:pt>
              </c:strCache>
            </c:strRef>
          </c:tx>
          <c:spPr>
            <a:solidFill>
              <a:schemeClr val="bg1">
                <a:lumMod val="75000"/>
              </a:schemeClr>
            </a:solidFill>
          </c:spPr>
          <c:invertIfNegative val="0"/>
          <c:cat>
            <c:numRef>
              <c:f>TO!$A$3:$A$21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TO!$G$3:$G$21</c:f>
              <c:numCache>
                <c:formatCode>General</c:formatCode>
                <c:ptCount val="19"/>
                <c:pt idx="18">
                  <c:v>21</c:v>
                </c:pt>
              </c:numCache>
            </c:numRef>
          </c:val>
        </c:ser>
        <c:dLbls>
          <c:showLegendKey val="0"/>
          <c:showVal val="0"/>
          <c:showCatName val="0"/>
          <c:showSerName val="0"/>
          <c:showPercent val="0"/>
          <c:showBubbleSize val="0"/>
        </c:dLbls>
        <c:gapWidth val="150"/>
        <c:shape val="box"/>
        <c:axId val="406481440"/>
        <c:axId val="406482224"/>
        <c:axId val="0"/>
      </c:bar3DChart>
      <c:catAx>
        <c:axId val="406481440"/>
        <c:scaling>
          <c:orientation val="minMax"/>
        </c:scaling>
        <c:delete val="0"/>
        <c:axPos val="b"/>
        <c:numFmt formatCode="General" sourceLinked="1"/>
        <c:majorTickMark val="out"/>
        <c:minorTickMark val="none"/>
        <c:tickLblPos val="nextTo"/>
        <c:crossAx val="406482224"/>
        <c:crosses val="autoZero"/>
        <c:auto val="0"/>
        <c:lblAlgn val="ctr"/>
        <c:lblOffset val="100"/>
        <c:tickLblSkip val="1"/>
        <c:noMultiLvlLbl val="0"/>
      </c:catAx>
      <c:valAx>
        <c:axId val="406482224"/>
        <c:scaling>
          <c:orientation val="minMax"/>
        </c:scaling>
        <c:delete val="0"/>
        <c:axPos val="l"/>
        <c:majorGridlines/>
        <c:numFmt formatCode="#,##0" sourceLinked="1"/>
        <c:majorTickMark val="out"/>
        <c:minorTickMark val="none"/>
        <c:tickLblPos val="nextTo"/>
        <c:crossAx val="406481440"/>
        <c:crosses val="autoZero"/>
        <c:crossBetween val="between"/>
      </c:valAx>
    </c:plotArea>
    <c:legend>
      <c:legendPos val="r"/>
      <c:layout>
        <c:manualLayout>
          <c:xMode val="edge"/>
          <c:yMode val="edge"/>
          <c:x val="0.78658117183881415"/>
          <c:y val="0.27214416108434208"/>
          <c:w val="0.21341882816118574"/>
          <c:h val="0.43183076742272886"/>
        </c:manualLayout>
      </c:layout>
      <c:overlay val="0"/>
      <c:spPr>
        <a:solidFill>
          <a:schemeClr val="bg1"/>
        </a:solidFill>
        <a:ln>
          <a:solidFill>
            <a:schemeClr val="bg1"/>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skutečná cena</c:v>
          </c:tx>
          <c:spPr>
            <a:ln>
              <a:solidFill>
                <a:schemeClr val="tx2">
                  <a:lumMod val="40000"/>
                  <a:lumOff val="60000"/>
                </a:schemeClr>
              </a:solidFill>
            </a:ln>
          </c:spPr>
          <c:marker>
            <c:spPr>
              <a:ln>
                <a:solidFill>
                  <a:schemeClr val="tx2">
                    <a:lumMod val="40000"/>
                    <a:lumOff val="60000"/>
                  </a:schemeClr>
                </a:solidFill>
              </a:ln>
            </c:spPr>
          </c:marker>
          <c:cat>
            <c:numRef>
              <c:f>'sko - finance'!$C$6:$C$24</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'sko - finance'!$G$6:$G$24</c:f>
              <c:numCache>
                <c:formatCode>General</c:formatCode>
                <c:ptCount val="19"/>
                <c:pt idx="0">
                  <c:v>396.7</c:v>
                </c:pt>
                <c:pt idx="1">
                  <c:v>501.6</c:v>
                </c:pt>
                <c:pt idx="2">
                  <c:v>505</c:v>
                </c:pt>
                <c:pt idx="3">
                  <c:v>532.4</c:v>
                </c:pt>
                <c:pt idx="4">
                  <c:v>563.70000000000005</c:v>
                </c:pt>
                <c:pt idx="5">
                  <c:v>583.79999999999995</c:v>
                </c:pt>
                <c:pt idx="6">
                  <c:v>644.70000000000005</c:v>
                </c:pt>
                <c:pt idx="7">
                  <c:v>697.8</c:v>
                </c:pt>
                <c:pt idx="8">
                  <c:v>717.8</c:v>
                </c:pt>
                <c:pt idx="9">
                  <c:v>740.9</c:v>
                </c:pt>
                <c:pt idx="10">
                  <c:v>767.4</c:v>
                </c:pt>
                <c:pt idx="11">
                  <c:v>735</c:v>
                </c:pt>
                <c:pt idx="12">
                  <c:v>747.3</c:v>
                </c:pt>
                <c:pt idx="13">
                  <c:v>760</c:v>
                </c:pt>
                <c:pt idx="14">
                  <c:v>804.6</c:v>
                </c:pt>
                <c:pt idx="15">
                  <c:v>809.1</c:v>
                </c:pt>
                <c:pt idx="16">
                  <c:v>817.9</c:v>
                </c:pt>
                <c:pt idx="17">
                  <c:v>808.7</c:v>
                </c:pt>
                <c:pt idx="18">
                  <c:v>850.5</c:v>
                </c:pt>
              </c:numCache>
            </c:numRef>
          </c:val>
          <c:smooth val="0"/>
        </c:ser>
        <c:ser>
          <c:idx val="1"/>
          <c:order val="1"/>
          <c:tx>
            <c:v>cena bez DPH</c:v>
          </c:tx>
          <c:cat>
            <c:numRef>
              <c:f>'sko - finance'!$C$6:$C$24</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'sko - finance'!$H$6:$H$24</c:f>
              <c:numCache>
                <c:formatCode>General</c:formatCode>
                <c:ptCount val="19"/>
                <c:pt idx="0">
                  <c:v>376.9</c:v>
                </c:pt>
                <c:pt idx="1">
                  <c:v>476.5</c:v>
                </c:pt>
                <c:pt idx="2">
                  <c:v>479.8</c:v>
                </c:pt>
                <c:pt idx="3">
                  <c:v>505.8</c:v>
                </c:pt>
                <c:pt idx="4">
                  <c:v>535.5</c:v>
                </c:pt>
                <c:pt idx="5">
                  <c:v>554.6</c:v>
                </c:pt>
                <c:pt idx="6">
                  <c:v>531.20000000000005</c:v>
                </c:pt>
                <c:pt idx="7">
                  <c:v>586.29999999999995</c:v>
                </c:pt>
                <c:pt idx="8">
                  <c:v>603.20000000000005</c:v>
                </c:pt>
                <c:pt idx="9">
                  <c:v>622.6</c:v>
                </c:pt>
                <c:pt idx="10">
                  <c:v>644.9</c:v>
                </c:pt>
                <c:pt idx="11">
                  <c:v>667.7</c:v>
                </c:pt>
                <c:pt idx="12">
                  <c:v>679.3</c:v>
                </c:pt>
                <c:pt idx="13">
                  <c:v>690.9</c:v>
                </c:pt>
                <c:pt idx="14">
                  <c:v>705.8</c:v>
                </c:pt>
                <c:pt idx="15">
                  <c:v>703.6</c:v>
                </c:pt>
                <c:pt idx="16">
                  <c:v>711.3</c:v>
                </c:pt>
                <c:pt idx="17">
                  <c:v>703.2</c:v>
                </c:pt>
                <c:pt idx="18">
                  <c:v>740.3</c:v>
                </c:pt>
              </c:numCache>
            </c:numRef>
          </c:val>
          <c:smooth val="0"/>
        </c:ser>
        <c:ser>
          <c:idx val="2"/>
          <c:order val="2"/>
          <c:tx>
            <c:v>cena bez DPH a bez inflace</c:v>
          </c:tx>
          <c:spPr>
            <a:ln>
              <a:solidFill>
                <a:schemeClr val="accent3">
                  <a:lumMod val="75000"/>
                </a:schemeClr>
              </a:solidFill>
            </a:ln>
          </c:spPr>
          <c:marker>
            <c:spPr>
              <a:ln>
                <a:solidFill>
                  <a:schemeClr val="accent3">
                    <a:lumMod val="75000"/>
                  </a:schemeClr>
                </a:solidFill>
              </a:ln>
            </c:spPr>
          </c:marker>
          <c:cat>
            <c:numRef>
              <c:f>'sko - finance'!$C$6:$C$24</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'sko - finance'!$I$6:$I$24</c:f>
              <c:numCache>
                <c:formatCode>General</c:formatCode>
                <c:ptCount val="19"/>
                <c:pt idx="0">
                  <c:v>336.5</c:v>
                </c:pt>
                <c:pt idx="1">
                  <c:v>415.5</c:v>
                </c:pt>
                <c:pt idx="2">
                  <c:v>399.7</c:v>
                </c:pt>
                <c:pt idx="3">
                  <c:v>397.6</c:v>
                </c:pt>
                <c:pt idx="4">
                  <c:v>411.2</c:v>
                </c:pt>
                <c:pt idx="5">
                  <c:v>420.4</c:v>
                </c:pt>
                <c:pt idx="6">
                  <c:v>387.8</c:v>
                </c:pt>
                <c:pt idx="7">
                  <c:v>417.2</c:v>
                </c:pt>
                <c:pt idx="8">
                  <c:v>421.3</c:v>
                </c:pt>
                <c:pt idx="9">
                  <c:v>424.3</c:v>
                </c:pt>
                <c:pt idx="10">
                  <c:v>427.6</c:v>
                </c:pt>
                <c:pt idx="11">
                  <c:v>415.8</c:v>
                </c:pt>
                <c:pt idx="12">
                  <c:v>418.9</c:v>
                </c:pt>
                <c:pt idx="13">
                  <c:v>419.7</c:v>
                </c:pt>
                <c:pt idx="14">
                  <c:v>420.8</c:v>
                </c:pt>
                <c:pt idx="15">
                  <c:v>405.6</c:v>
                </c:pt>
                <c:pt idx="16">
                  <c:v>404.9</c:v>
                </c:pt>
                <c:pt idx="17">
                  <c:v>403.7</c:v>
                </c:pt>
                <c:pt idx="18">
                  <c:v>406.6</c:v>
                </c:pt>
              </c:numCache>
            </c:numRef>
          </c:val>
          <c:smooth val="0"/>
        </c:ser>
        <c:dLbls>
          <c:showLegendKey val="0"/>
          <c:showVal val="0"/>
          <c:showCatName val="0"/>
          <c:showSerName val="0"/>
          <c:showPercent val="0"/>
          <c:showBubbleSize val="0"/>
        </c:dLbls>
        <c:marker val="1"/>
        <c:smooth val="0"/>
        <c:axId val="458915712"/>
        <c:axId val="458914536"/>
      </c:lineChart>
      <c:catAx>
        <c:axId val="458915712"/>
        <c:scaling>
          <c:orientation val="minMax"/>
        </c:scaling>
        <c:delete val="0"/>
        <c:axPos val="b"/>
        <c:numFmt formatCode="General" sourceLinked="1"/>
        <c:majorTickMark val="out"/>
        <c:minorTickMark val="none"/>
        <c:tickLblPos val="nextTo"/>
        <c:crossAx val="458914536"/>
        <c:crosses val="autoZero"/>
        <c:auto val="1"/>
        <c:lblAlgn val="ctr"/>
        <c:lblOffset val="100"/>
        <c:noMultiLvlLbl val="0"/>
      </c:catAx>
      <c:valAx>
        <c:axId val="458914536"/>
        <c:scaling>
          <c:orientation val="minMax"/>
        </c:scaling>
        <c:delete val="0"/>
        <c:axPos val="l"/>
        <c:majorGridlines/>
        <c:numFmt formatCode="General" sourceLinked="1"/>
        <c:majorTickMark val="out"/>
        <c:minorTickMark val="none"/>
        <c:tickLblPos val="nextTo"/>
        <c:crossAx val="458915712"/>
        <c:crosses val="autoZero"/>
        <c:crossBetween val="midCat"/>
      </c:valAx>
    </c:plotArea>
    <c:legend>
      <c:legendPos val="t"/>
      <c:overlay val="0"/>
      <c:spPr>
        <a:ln>
          <a:solidFill>
            <a:schemeClr val="accent1"/>
          </a:solidFill>
        </a:ln>
      </c:sp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'finance - predpis'!$B$3</c:f>
              <c:strCache>
                <c:ptCount val="1"/>
                <c:pt idx="0">
                  <c:v>předpis (mil. Kč)</c:v>
                </c:pt>
              </c:strCache>
            </c:strRef>
          </c:tx>
          <c:invertIfNegative val="0"/>
          <c:cat>
            <c:numRef>
              <c:f>'finance - predpis'!$C$2:$T$2</c:f>
              <c:numCache>
                <c:formatCode>General</c:formatCode>
                <c:ptCount val="18"/>
                <c:pt idx="0">
                  <c:v>1998</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'finance - predpis'!$C$3:$T$3</c:f>
              <c:numCache>
                <c:formatCode>General</c:formatCode>
                <c:ptCount val="18"/>
                <c:pt idx="0">
                  <c:v>321.8</c:v>
                </c:pt>
                <c:pt idx="1">
                  <c:v>385</c:v>
                </c:pt>
                <c:pt idx="2">
                  <c:v>392.1</c:v>
                </c:pt>
                <c:pt idx="3">
                  <c:v>543</c:v>
                </c:pt>
                <c:pt idx="4">
                  <c:v>537.5</c:v>
                </c:pt>
                <c:pt idx="5">
                  <c:v>567.1</c:v>
                </c:pt>
                <c:pt idx="6">
                  <c:v>650.29999999999995</c:v>
                </c:pt>
                <c:pt idx="7">
                  <c:v>654</c:v>
                </c:pt>
                <c:pt idx="8">
                  <c:v>674.2</c:v>
                </c:pt>
                <c:pt idx="9">
                  <c:v>686.2</c:v>
                </c:pt>
                <c:pt idx="10">
                  <c:v>690</c:v>
                </c:pt>
                <c:pt idx="11">
                  <c:v>697.8</c:v>
                </c:pt>
                <c:pt idx="12">
                  <c:v>699.6</c:v>
                </c:pt>
                <c:pt idx="13">
                  <c:v>697.2</c:v>
                </c:pt>
                <c:pt idx="14">
                  <c:v>696.8</c:v>
                </c:pt>
                <c:pt idx="15">
                  <c:v>699.7</c:v>
                </c:pt>
                <c:pt idx="16">
                  <c:v>699.1</c:v>
                </c:pt>
                <c:pt idx="17">
                  <c:v>703.7</c:v>
                </c:pt>
              </c:numCache>
            </c:numRef>
          </c:val>
        </c:ser>
        <c:ser>
          <c:idx val="1"/>
          <c:order val="1"/>
          <c:tx>
            <c:strRef>
              <c:f>'finance - predpis'!$B$4</c:f>
              <c:strCache>
                <c:ptCount val="1"/>
                <c:pt idx="0">
                  <c:v>dotace města (mil. Kč)</c:v>
                </c:pt>
              </c:strCache>
            </c:strRef>
          </c:tx>
          <c:spPr>
            <a:solidFill>
              <a:schemeClr val="accent2">
                <a:lumMod val="75000"/>
              </a:schemeClr>
            </a:solidFill>
          </c:spPr>
          <c:invertIfNegative val="0"/>
          <c:cat>
            <c:numRef>
              <c:f>'finance - predpis'!$C$2:$T$2</c:f>
              <c:numCache>
                <c:formatCode>General</c:formatCode>
                <c:ptCount val="18"/>
                <c:pt idx="0">
                  <c:v>1998</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'finance - predpis'!$C$4:$T$4</c:f>
              <c:numCache>
                <c:formatCode>General</c:formatCode>
                <c:ptCount val="18"/>
                <c:pt idx="0">
                  <c:v>74.900000000000006</c:v>
                </c:pt>
                <c:pt idx="1">
                  <c:v>120</c:v>
                </c:pt>
                <c:pt idx="2">
                  <c:v>140.30000000000001</c:v>
                </c:pt>
                <c:pt idx="3">
                  <c:v>20.6</c:v>
                </c:pt>
                <c:pt idx="4">
                  <c:v>46.3</c:v>
                </c:pt>
                <c:pt idx="5">
                  <c:v>77.599999999999994</c:v>
                </c:pt>
                <c:pt idx="6">
                  <c:v>36.4</c:v>
                </c:pt>
                <c:pt idx="7">
                  <c:v>56.3</c:v>
                </c:pt>
                <c:pt idx="8">
                  <c:v>66.599999999999994</c:v>
                </c:pt>
                <c:pt idx="9">
                  <c:v>81.2</c:v>
                </c:pt>
                <c:pt idx="10">
                  <c:v>45</c:v>
                </c:pt>
                <c:pt idx="11">
                  <c:v>49.4</c:v>
                </c:pt>
                <c:pt idx="12">
                  <c:v>60.4</c:v>
                </c:pt>
                <c:pt idx="13">
                  <c:v>107.4</c:v>
                </c:pt>
                <c:pt idx="14">
                  <c:v>112.3</c:v>
                </c:pt>
                <c:pt idx="15">
                  <c:v>118.19999999999993</c:v>
                </c:pt>
                <c:pt idx="16">
                  <c:v>109.60000000000002</c:v>
                </c:pt>
                <c:pt idx="17">
                  <c:v>160.9</c:v>
                </c:pt>
              </c:numCache>
            </c:numRef>
          </c:val>
        </c:ser>
        <c:dLbls>
          <c:showLegendKey val="0"/>
          <c:showVal val="0"/>
          <c:showCatName val="0"/>
          <c:showSerName val="0"/>
          <c:showPercent val="0"/>
          <c:showBubbleSize val="0"/>
        </c:dLbls>
        <c:gapWidth val="150"/>
        <c:shape val="box"/>
        <c:axId val="351207960"/>
        <c:axId val="351208352"/>
        <c:axId val="0"/>
      </c:bar3DChart>
      <c:catAx>
        <c:axId val="351207960"/>
        <c:scaling>
          <c:orientation val="minMax"/>
        </c:scaling>
        <c:delete val="0"/>
        <c:axPos val="b"/>
        <c:numFmt formatCode="General" sourceLinked="1"/>
        <c:majorTickMark val="out"/>
        <c:minorTickMark val="none"/>
        <c:tickLblPos val="nextTo"/>
        <c:crossAx val="351208352"/>
        <c:crosses val="autoZero"/>
        <c:auto val="1"/>
        <c:lblAlgn val="ctr"/>
        <c:lblOffset val="100"/>
        <c:noMultiLvlLbl val="0"/>
      </c:catAx>
      <c:valAx>
        <c:axId val="351208352"/>
        <c:scaling>
          <c:orientation val="minMax"/>
        </c:scaling>
        <c:delete val="0"/>
        <c:axPos val="l"/>
        <c:majorGridlines/>
        <c:numFmt formatCode="General" sourceLinked="1"/>
        <c:majorTickMark val="out"/>
        <c:minorTickMark val="none"/>
        <c:tickLblPos val="nextTo"/>
        <c:crossAx val="3512079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592</TotalTime>
  <Pages>16</Pages>
  <Words>5338</Words>
  <Characters>31498</Characters>
  <Application>Microsoft Office Word</Application>
  <DocSecurity>0</DocSecurity>
  <Lines>262</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Janda Lukáš (MHMP, OCP)</dc:creator>
  <cp:keywords/>
  <dc:description/>
  <cp:lastModifiedBy>Janda Lukáš (MHMP, OCP)</cp:lastModifiedBy>
  <cp:revision>10</cp:revision>
  <dcterms:created xsi:type="dcterms:W3CDTF">2017-08-11T06:00:00Z</dcterms:created>
  <dcterms:modified xsi:type="dcterms:W3CDTF">2017-11-21T06:21:00Z</dcterms:modified>
</cp:coreProperties>
</file>